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ИЗВЕЩЕНИЕ О ПРОВЕДЕНИИ АУКЦИОНА №</w:t>
      </w:r>
      <w:r>
        <w:rPr>
          <w:rFonts w:ascii="Times New Roman" w:hAnsi="Times New Roman" w:cs="Times New Roman"/>
          <w:b/>
          <w:sz w:val="24"/>
          <w:szCs w:val="24"/>
        </w:rPr>
        <w:t xml:space="preserve">271/2025-ГРО/11</w:t>
      </w:r>
      <w:r/>
    </w:p>
    <w:p>
      <w:pPr>
        <w:pStyle w:val="914"/>
        <w:ind w:left="-964" w:firstLine="567"/>
        <w:widowControl/>
      </w:pPr>
      <w:r>
        <w:t xml:space="preserve">Процедура не является торгами или публичным конкурсом в соответствии со статьями 447–449</w:t>
      </w:r>
      <w:r>
        <w:t xml:space="preserve"> части первой Гражданского кодекса Российской Федерации и статьями 1057–1061 части второй Гражданского кодекса Российской Федерации, и не накладывает на Организатора обязательств, установленных указанными статьями Гражданского кодекса Российской Федерации.</w:t>
      </w:r>
      <w:r/>
    </w:p>
    <w:p>
      <w:pPr>
        <w:pStyle w:val="914"/>
        <w:ind w:left="-964" w:firstLine="567"/>
        <w:widowControl/>
        <w:rPr>
          <w:rStyle w:val="913"/>
          <w:sz w:val="24"/>
        </w:rPr>
      </w:pPr>
      <w:r>
        <w:t xml:space="preserve">Процедура проводится в форме аукциона. Под аукционом в рамках реализации имущества Организатора следует понимать конкурентную форму продажи, при которой право на приобретение имущества принадлежит участнику, предложившему наиболее высокую цену.</w:t>
      </w:r>
      <w:r/>
    </w:p>
    <w:p>
      <w:pPr>
        <w:ind w:left="-964"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Организатор вправе изменять условия проведения процедуры, в том числе отказаться от ее проведения на любом этапе.</w:t>
      </w:r>
      <w:r/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tbl>
      <w:tblPr>
        <w:tblStyle w:val="916"/>
        <w:tblW w:w="10665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864"/>
        <w:gridCol w:w="3740"/>
        <w:gridCol w:w="6061"/>
      </w:tblGrid>
      <w:tr>
        <w:trPr/>
        <w:tc>
          <w:tcPr>
            <w:tcW w:w="86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</w:t>
            </w:r>
            <w:r/>
          </w:p>
          <w:p>
            <w:pPr>
              <w:pStyle w:val="914"/>
              <w:jc w:val="center"/>
              <w:widowControl/>
              <w:rPr>
                <w:rStyle w:val="913"/>
                <w:b/>
                <w:sz w:val="24"/>
              </w:rPr>
            </w:pPr>
            <w:r>
              <w:rPr>
                <w:b/>
              </w:rPr>
              <w:t xml:space="preserve">п/п</w:t>
            </w:r>
            <w:r/>
          </w:p>
        </w:tc>
        <w:tc>
          <w:tcPr>
            <w:tcW w:w="3740" w:type="dxa"/>
            <w:vAlign w:val="center"/>
            <w:textDirection w:val="lrTb"/>
            <w:noWrap w:val="false"/>
          </w:tcPr>
          <w:p>
            <w:pPr>
              <w:pStyle w:val="914"/>
              <w:jc w:val="center"/>
              <w:widowControl/>
              <w:rPr>
                <w:rStyle w:val="913"/>
                <w:b/>
                <w:sz w:val="24"/>
              </w:rPr>
            </w:pPr>
            <w:r>
              <w:rPr>
                <w:b/>
              </w:rPr>
              <w:t xml:space="preserve">Наименование п/п</w:t>
            </w:r>
            <w:r/>
          </w:p>
        </w:tc>
        <w:tc>
          <w:tcPr>
            <w:tcW w:w="6061" w:type="dxa"/>
            <w:vAlign w:val="center"/>
            <w:textDirection w:val="lrTb"/>
            <w:noWrap w:val="false"/>
          </w:tcPr>
          <w:p>
            <w:pPr>
              <w:pStyle w:val="914"/>
              <w:jc w:val="center"/>
              <w:widowControl/>
              <w:rPr>
                <w:rStyle w:val="913"/>
                <w:b/>
                <w:sz w:val="24"/>
              </w:rPr>
            </w:pPr>
            <w:r>
              <w:rPr>
                <w:b/>
              </w:rPr>
              <w:t xml:space="preserve">Содержание п/п</w:t>
            </w:r>
            <w:r/>
          </w:p>
        </w:tc>
      </w:tr>
      <w:tr>
        <w:trPr/>
        <w:tc>
          <w:tcPr>
            <w:gridSpan w:val="3"/>
            <w:tcW w:w="10665" w:type="dxa"/>
            <w:vAlign w:val="center"/>
            <w:textDirection w:val="lrTb"/>
            <w:noWrap w:val="false"/>
          </w:tcPr>
          <w:p>
            <w:pPr>
              <w:pStyle w:val="914"/>
              <w:widowControl/>
              <w:rPr>
                <w:b/>
              </w:rPr>
            </w:pPr>
            <w:r>
              <w:rPr>
                <w:b/>
              </w:rPr>
              <w:t xml:space="preserve">1.Сведения об организаторе</w:t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4"/>
              <w:widowControl/>
              <w:rPr>
                <w:rStyle w:val="913"/>
                <w:sz w:val="24"/>
              </w:rPr>
            </w:pPr>
            <w:r>
              <w:rPr>
                <w:rStyle w:val="913"/>
                <w:sz w:val="24"/>
              </w:rPr>
              <w:t xml:space="preserve">1.1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4"/>
              <w:widowControl/>
              <w:rPr>
                <w:rStyle w:val="913"/>
                <w:sz w:val="24"/>
              </w:rPr>
            </w:pPr>
            <w:r>
              <w:t xml:space="preserve">Организатор </w:t>
            </w:r>
            <w:r/>
          </w:p>
        </w:tc>
        <w:tc>
          <w:tcPr>
            <w:tcW w:w="6061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Публичное акционерное общество </w:t>
            </w:r>
            <w:r/>
          </w:p>
          <w:p>
            <w:pPr>
              <w:jc w:val="both"/>
              <w:widowControl w:val="off"/>
              <w:rPr>
                <w:rStyle w:val="913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«Газпром газораспределение Уфа» </w:t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4"/>
              <w:widowControl/>
              <w:rPr>
                <w:rStyle w:val="913"/>
                <w:sz w:val="24"/>
              </w:rPr>
            </w:pPr>
            <w:r>
              <w:rPr>
                <w:rStyle w:val="913"/>
                <w:sz w:val="24"/>
              </w:rPr>
              <w:t xml:space="preserve">1.2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4"/>
              <w:widowControl/>
              <w:rPr>
                <w:rStyle w:val="913"/>
                <w:sz w:val="24"/>
              </w:rPr>
            </w:pPr>
            <w:r>
              <w:rPr>
                <w:rStyle w:val="913"/>
                <w:sz w:val="24"/>
              </w:rPr>
              <w:t xml:space="preserve">Адрес местонахождения</w:t>
            </w:r>
            <w:r/>
          </w:p>
        </w:tc>
        <w:tc>
          <w:tcPr>
            <w:tcW w:w="6061" w:type="dxa"/>
            <w:textDirection w:val="lrTb"/>
            <w:noWrap w:val="false"/>
          </w:tcPr>
          <w:p>
            <w:pPr>
              <w:jc w:val="both"/>
              <w:widowControl w:val="off"/>
              <w:rPr>
                <w:rStyle w:val="913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450059, Республика Башкортостан, г. Уфа,                                          ул. Новосибирская, д.2, корп. 4</w:t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4"/>
              <w:widowControl/>
              <w:rPr>
                <w:rStyle w:val="913"/>
                <w:sz w:val="24"/>
              </w:rPr>
            </w:pPr>
            <w:r>
              <w:rPr>
                <w:rStyle w:val="913"/>
                <w:sz w:val="24"/>
              </w:rPr>
              <w:t xml:space="preserve">1.3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4"/>
              <w:widowControl/>
              <w:rPr>
                <w:rStyle w:val="913"/>
                <w:b/>
                <w:sz w:val="24"/>
              </w:rPr>
            </w:pPr>
            <w:r>
              <w:rPr>
                <w:color w:val="000000"/>
              </w:rPr>
              <w:t xml:space="preserve">Адрес сайта в сети Интернет</w:t>
            </w:r>
            <w:r/>
          </w:p>
        </w:tc>
        <w:tc>
          <w:tcPr>
            <w:tcW w:w="6061" w:type="dxa"/>
            <w:textDirection w:val="lrTb"/>
            <w:noWrap w:val="false"/>
          </w:tcPr>
          <w:p>
            <w:pPr>
              <w:pStyle w:val="914"/>
              <w:widowControl/>
              <w:rPr>
                <w:rStyle w:val="913"/>
                <w:b/>
                <w:sz w:val="24"/>
              </w:rPr>
            </w:pPr>
            <w:r/>
            <w:hyperlink r:id="rId10" w:tooltip="https://www.bashgaz.ru/" w:history="1">
              <w:r>
                <w:rPr>
                  <w:rStyle w:val="915"/>
                </w:rPr>
                <w:t xml:space="preserve">https://www.bashgaz.ru/</w:t>
              </w:r>
            </w:hyperlink>
            <w:r/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4"/>
              <w:widowControl/>
              <w:rPr>
                <w:rStyle w:val="913"/>
                <w:sz w:val="24"/>
              </w:rPr>
            </w:pPr>
            <w:r>
              <w:rPr>
                <w:rStyle w:val="913"/>
                <w:sz w:val="24"/>
              </w:rPr>
              <w:t xml:space="preserve">1.4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4"/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Номер телефона/факса</w:t>
            </w:r>
            <w:r/>
          </w:p>
        </w:tc>
        <w:tc>
          <w:tcPr>
            <w:tcW w:w="6061" w:type="dxa"/>
            <w:textDirection w:val="lrTb"/>
            <w:noWrap w:val="false"/>
          </w:tcPr>
          <w:p>
            <w:pPr>
              <w:pStyle w:val="914"/>
              <w:widowControl/>
            </w:pPr>
            <w:r>
              <w:rPr>
                <w:color w:val="000000"/>
              </w:rPr>
              <w:t xml:space="preserve">(</w:t>
            </w:r>
            <w:r>
              <w:rPr>
                <w:color w:val="000000"/>
                <w:lang w:val="en-US"/>
              </w:rPr>
              <w:t xml:space="preserve">347</w:t>
            </w:r>
            <w:r>
              <w:rPr>
                <w:color w:val="000000"/>
              </w:rPr>
              <w:t xml:space="preserve">) 229-90-22</w:t>
            </w:r>
            <w:r/>
          </w:p>
          <w:p>
            <w:pPr>
              <w:pStyle w:val="914"/>
              <w:widowControl/>
            </w:pPr>
            <w:r/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4"/>
              <w:widowControl/>
              <w:rPr>
                <w:rStyle w:val="913"/>
                <w:sz w:val="24"/>
              </w:rPr>
            </w:pPr>
            <w:r>
              <w:rPr>
                <w:rStyle w:val="913"/>
                <w:sz w:val="24"/>
              </w:rPr>
              <w:t xml:space="preserve">1.5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4"/>
              <w:widowControl/>
              <w:rPr>
                <w:rStyle w:val="913"/>
                <w:b/>
                <w:sz w:val="24"/>
              </w:rPr>
            </w:pPr>
            <w:r>
              <w:rPr>
                <w:rStyle w:val="913"/>
                <w:sz w:val="24"/>
              </w:rPr>
              <w:t xml:space="preserve">Контактное лицо по вопросам процедуры аукциона, телефон, электронная почта  </w:t>
            </w:r>
            <w:r>
              <w:rPr>
                <w:color w:val="000000"/>
              </w:rPr>
              <w:t xml:space="preserve"> </w:t>
            </w:r>
            <w:r/>
          </w:p>
        </w:tc>
        <w:tc>
          <w:tcPr>
            <w:tcW w:w="6061" w:type="dxa"/>
            <w:textDirection w:val="lrTb"/>
            <w:noWrap w:val="false"/>
          </w:tcPr>
          <w:p>
            <w:pPr>
              <w:pStyle w:val="914"/>
              <w:widowControl/>
            </w:pPr>
            <w:r>
              <w:t xml:space="preserve">Амантаева Ралина Мирзовна</w:t>
            </w:r>
            <w:r/>
          </w:p>
          <w:p>
            <w:pPr>
              <w:ind w:right="-31"/>
              <w:widowControl w:val="off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(347) 229-90-22, доб. 90327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  <w:p>
            <w:pPr>
              <w:pStyle w:val="914"/>
              <w:widowControl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>
              <w:rPr>
                <w:rStyle w:val="915"/>
                <w:lang w:val="en-US"/>
              </w:rPr>
            </w:r>
            <w:r>
              <w:rPr>
                <w:rStyle w:val="915"/>
                <w:lang w:val="en-US"/>
              </w:rPr>
              <w:t xml:space="preserve">amantaeva.rm@bashgaz.ru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4"/>
              <w:widowControl/>
              <w:rPr>
                <w:rStyle w:val="913"/>
                <w:sz w:val="24"/>
              </w:rPr>
            </w:pPr>
            <w:r>
              <w:rPr>
                <w:rStyle w:val="913"/>
                <w:sz w:val="24"/>
              </w:rPr>
              <w:t xml:space="preserve">1.6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4"/>
              <w:widowControl/>
              <w:rPr>
                <w:rStyle w:val="913"/>
                <w:sz w:val="24"/>
              </w:rPr>
            </w:pPr>
            <w:r>
              <w:rPr>
                <w:rStyle w:val="913"/>
                <w:sz w:val="24"/>
              </w:rPr>
              <w:t xml:space="preserve">Контактное лицо по вопросам технических характеристик и предоставления ТС для </w:t>
            </w:r>
            <w:r>
              <w:t xml:space="preserve">осмотра,</w:t>
            </w:r>
            <w:r>
              <w:rPr>
                <w:rStyle w:val="939"/>
                <w:sz w:val="24"/>
                <w:szCs w:val="24"/>
              </w:rPr>
              <w:t xml:space="preserve"> </w:t>
            </w:r>
            <w:r>
              <w:rPr>
                <w:rStyle w:val="913"/>
                <w:sz w:val="24"/>
              </w:rPr>
              <w:t xml:space="preserve">телефон, электронная почта  </w:t>
            </w:r>
            <w:r>
              <w:rPr>
                <w:color w:val="000000"/>
              </w:rPr>
              <w:t xml:space="preserve"> </w:t>
            </w:r>
            <w:r/>
          </w:p>
        </w:tc>
        <w:tc>
          <w:tcPr>
            <w:shd w:val="clear" w:color="auto" w:fill="bfbfbf" w:themeFill="background1" w:themeFillShade="BF"/>
            <w:tcW w:w="6061" w:type="dxa"/>
            <w:textDirection w:val="lrTb"/>
            <w:noWrap w:val="false"/>
          </w:tcPr>
          <w:p>
            <w:pPr>
              <w:pStyle w:val="914"/>
              <w:rPr>
                <w:rStyle w:val="913"/>
                <w:sz w:val="24"/>
                <w:szCs w:val="24"/>
              </w:rPr>
            </w:pPr>
            <w:r>
              <w:rPr>
                <w:rStyle w:val="913"/>
                <w:sz w:val="24"/>
                <w:szCs w:val="24"/>
              </w:rPr>
            </w:r>
            <w:r>
              <w:rPr>
                <w:rStyle w:val="913"/>
                <w:sz w:val="24"/>
                <w:szCs w:val="24"/>
              </w:rPr>
              <w:t xml:space="preserve">Бакиров Ильдар Гарифьянович  </w:t>
            </w:r>
            <w:r>
              <w:rPr>
                <w:rStyle w:val="913"/>
                <w:sz w:val="24"/>
                <w:szCs w:val="24"/>
              </w:rPr>
            </w:r>
            <w:r/>
          </w:p>
          <w:p>
            <w:pPr>
              <w:pStyle w:val="914"/>
              <w:rPr>
                <w:rStyle w:val="913"/>
                <w:sz w:val="24"/>
                <w:szCs w:val="24"/>
              </w:rPr>
            </w:pPr>
            <w:r>
              <w:rPr>
                <w:rStyle w:val="913"/>
                <w:sz w:val="24"/>
                <w:szCs w:val="24"/>
              </w:rPr>
              <w:t xml:space="preserve">8-917-78-92-889 </w:t>
            </w:r>
            <w:r>
              <w:rPr>
                <w:rStyle w:val="913"/>
                <w:sz w:val="24"/>
                <w:szCs w:val="24"/>
              </w:rPr>
            </w:r>
            <w:r/>
          </w:p>
          <w:p>
            <w:pPr>
              <w:pStyle w:val="914"/>
              <w:rPr>
                <w:rStyle w:val="913"/>
                <w:sz w:val="24"/>
                <w:szCs w:val="24"/>
              </w:rPr>
            </w:pPr>
            <w:r>
              <w:rPr>
                <w:rStyle w:val="913"/>
                <w:sz w:val="24"/>
                <w:szCs w:val="24"/>
              </w:rPr>
              <w:t xml:space="preserve">18Shaimardanov.DR@bashgaz.ru </w:t>
            </w:r>
            <w:r/>
          </w:p>
        </w:tc>
      </w:tr>
      <w:tr>
        <w:trPr/>
        <w:tc>
          <w:tcPr>
            <w:gridSpan w:val="3"/>
            <w:tcW w:w="10665" w:type="dxa"/>
            <w:textDirection w:val="lrTb"/>
            <w:noWrap w:val="false"/>
          </w:tcPr>
          <w:p>
            <w:pPr>
              <w:ind w:right="-31"/>
              <w:widowControl w:val="off"/>
              <w:rPr>
                <w:rStyle w:val="915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913"/>
                <w:rFonts w:cs="Times New Roman"/>
                <w:b/>
                <w:sz w:val="24"/>
                <w:szCs w:val="24"/>
              </w:rPr>
              <w:t xml:space="preserve">2. Общие сведения </w:t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4"/>
              <w:widowControl/>
              <w:rPr>
                <w:rStyle w:val="913"/>
                <w:sz w:val="24"/>
              </w:rPr>
            </w:pPr>
            <w:r>
              <w:rPr>
                <w:rStyle w:val="913"/>
                <w:sz w:val="24"/>
                <w:lang w:val="en-US"/>
              </w:rPr>
              <w:t xml:space="preserve">2</w:t>
            </w:r>
            <w:r>
              <w:rPr>
                <w:rStyle w:val="913"/>
                <w:sz w:val="24"/>
              </w:rPr>
              <w:t xml:space="preserve">.1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4"/>
              <w:widowControl/>
              <w:rPr>
                <w:rStyle w:val="913"/>
                <w:sz w:val="24"/>
              </w:rPr>
            </w:pPr>
            <w:r>
              <w:t xml:space="preserve">Предмет аукциона</w:t>
            </w:r>
            <w:r/>
          </w:p>
        </w:tc>
        <w:tc>
          <w:tcPr>
            <w:shd w:val="clear" w:color="auto" w:fill="bfbfbf" w:themeFill="background1" w:themeFillShade="BF"/>
            <w:tcW w:w="6061" w:type="dxa"/>
            <w:textDirection w:val="lrTb"/>
            <w:noWrap w:val="false"/>
          </w:tcPr>
          <w:p>
            <w:pPr>
              <w:pStyle w:val="914"/>
              <w:widowControl/>
              <w:rPr>
                <w:rStyle w:val="913"/>
                <w:sz w:val="24"/>
              </w:rPr>
            </w:pPr>
            <w:r>
              <w:rPr>
                <w:rStyle w:val="913"/>
                <w:sz w:val="24"/>
              </w:rPr>
            </w:r>
            <w:r>
              <w:rPr>
                <w:rStyle w:val="913"/>
                <w:sz w:val="24"/>
              </w:rPr>
              <w:t xml:space="preserve">Грузовой фургон ИЖ-27175-037</w:t>
            </w:r>
            <w:r>
              <w:rPr>
                <w:rStyle w:val="913"/>
                <w:sz w:val="24"/>
              </w:rPr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4"/>
              <w:widowControl/>
              <w:rPr>
                <w:rStyle w:val="913"/>
                <w:sz w:val="24"/>
              </w:rPr>
            </w:pPr>
            <w:r>
              <w:rPr>
                <w:rStyle w:val="913"/>
                <w:sz w:val="24"/>
              </w:rPr>
              <w:t xml:space="preserve">2.2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4"/>
              <w:widowControl/>
            </w:pPr>
            <w:r>
              <w:rPr>
                <w:bCs/>
                <w:color w:val="000000"/>
                <w:lang w:eastAsia="ru-RU"/>
              </w:rPr>
              <w:t xml:space="preserve">Место нахождения</w:t>
            </w:r>
            <w:r/>
          </w:p>
        </w:tc>
        <w:tc>
          <w:tcPr>
            <w:shd w:val="clear" w:color="auto" w:fill="auto"/>
            <w:tcW w:w="60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Уфа д. Князево, ул. Кирова д.2 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4"/>
              <w:widowControl/>
              <w:rPr>
                <w:rStyle w:val="913"/>
                <w:sz w:val="24"/>
              </w:rPr>
            </w:pPr>
            <w:r>
              <w:rPr>
                <w:rStyle w:val="913"/>
                <w:sz w:val="24"/>
              </w:rPr>
              <w:t xml:space="preserve">2.3</w:t>
            </w:r>
            <w:r/>
          </w:p>
        </w:tc>
        <w:tc>
          <w:tcPr>
            <w:gridSpan w:val="2"/>
            <w:tcW w:w="9801" w:type="dxa"/>
            <w:textDirection w:val="lrTb"/>
            <w:noWrap w:val="false"/>
          </w:tcPr>
          <w:p>
            <w:pPr>
              <w:jc w:val="both"/>
              <w:rPr>
                <w:rStyle w:val="913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предмета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/>
          </w:p>
        </w:tc>
      </w:tr>
      <w:tr>
        <w:trPr/>
        <w:tc>
          <w:tcPr>
            <w:gridSpan w:val="3"/>
            <w:tcW w:w="10665" w:type="dxa"/>
            <w:textDirection w:val="lrTb"/>
            <w:noWrap w:val="false"/>
          </w:tcPr>
          <w:tbl>
            <w:tblPr>
              <w:tblW w:w="10637" w:type="dxa"/>
              <w:tblInd w:w="-137" w:type="dxa"/>
              <w:tblLayout w:type="fixed"/>
              <w:tblCellMar>
                <w:left w:w="5" w:type="dxa"/>
                <w:top w:w="0" w:type="dxa"/>
                <w:right w:w="5" w:type="dxa"/>
                <w:bottom w:w="0" w:type="dxa"/>
              </w:tblCellMar>
              <w:tblLook w:val="04A0" w:firstRow="1" w:lastRow="0" w:firstColumn="1" w:lastColumn="0" w:noHBand="0" w:noVBand="1"/>
            </w:tblPr>
            <w:tblGrid>
              <w:gridCol w:w="5104"/>
              <w:gridCol w:w="5533"/>
            </w:tblGrid>
            <w:tr>
              <w:trPr>
                <w:trHeight w:val="435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4"/>
                    <w:jc w:val="center"/>
                    <w:widowControl/>
                    <w:rPr>
                      <w:rStyle w:val="913"/>
                      <w14:ligatures w14:val="none"/>
                    </w:rPr>
                  </w:pPr>
                  <w:r>
                    <w:rPr>
                      <w:rStyle w:val="913"/>
                      <w:sz w:val="24"/>
                      <w:szCs w:val="24"/>
                    </w:rPr>
                    <w:t xml:space="preserve">     </w:t>
                  </w:r>
                  <w:r>
                    <w:rPr>
                      <w:rStyle w:val="913"/>
                      <w:sz w:val="24"/>
                      <w:szCs w:val="24"/>
                    </w:rPr>
                    <w:t xml:space="preserve">Марка, модель ТС</w:t>
                  </w:r>
                  <w:r>
                    <w:rPr>
                      <w:rStyle w:val="913"/>
                      <w:sz w:val="24"/>
                      <w:szCs w:val="24"/>
                    </w:rPr>
                  </w:r>
                  <w:r>
                    <w:rPr>
                      <w:rStyle w:val="913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533" w:type="dxa"/>
                  <w:vAlign w:val="center"/>
                  <w:textDirection w:val="lrTb"/>
                  <w:noWrap w:val="false"/>
                </w:tcPr>
                <w:p>
                  <w:pPr>
                    <w:pStyle w:val="914"/>
                    <w:jc w:val="center"/>
                    <w:widowControl/>
                    <w:rPr>
                      <w:rStyle w:val="913"/>
                      <w14:ligatures w14:val="none"/>
                    </w:rPr>
                  </w:pPr>
                  <w:r>
                    <w:rPr>
                      <w:rStyle w:val="913"/>
                      <w:sz w:val="24"/>
                      <w:szCs w:val="24"/>
                    </w:rPr>
                    <w:t xml:space="preserve">    </w:t>
                  </w:r>
                  <w:r>
                    <w:rPr>
                      <w:rStyle w:val="913"/>
                      <w:sz w:val="24"/>
                      <w:szCs w:val="24"/>
                    </w:rPr>
                    <w:t xml:space="preserve">ИЖ 27175-037</w:t>
                  </w:r>
                  <w:r>
                    <w:rPr>
                      <w:rStyle w:val="913"/>
                      <w:sz w:val="24"/>
                      <w:szCs w:val="24"/>
                    </w:rPr>
                  </w:r>
                  <w:r>
                    <w:rPr>
                      <w:rStyle w:val="91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435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4"/>
                    <w:jc w:val="center"/>
                    <w:widowControl/>
                    <w:rPr>
                      <w:rStyle w:val="913"/>
                      <w14:ligatures w14:val="none"/>
                    </w:rPr>
                  </w:pPr>
                  <w:r>
                    <w:rPr>
                      <w:rStyle w:val="913"/>
                      <w:sz w:val="24"/>
                      <w:szCs w:val="24"/>
                    </w:rPr>
                    <w:t xml:space="preserve">     </w:t>
                  </w:r>
                  <w:r>
                    <w:rPr>
                      <w:rStyle w:val="913"/>
                      <w:sz w:val="24"/>
                      <w:szCs w:val="24"/>
                    </w:rPr>
                    <w:t xml:space="preserve">Инвентарный номер</w:t>
                  </w:r>
                  <w:r>
                    <w:rPr>
                      <w:rStyle w:val="913"/>
                      <w:sz w:val="24"/>
                      <w:szCs w:val="24"/>
                    </w:rPr>
                  </w:r>
                  <w:r>
                    <w:rPr>
                      <w:rStyle w:val="913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533" w:type="dxa"/>
                  <w:vAlign w:val="center"/>
                  <w:textDirection w:val="lrTb"/>
                  <w:noWrap w:val="false"/>
                </w:tcPr>
                <w:p>
                  <w:pPr>
                    <w:pStyle w:val="914"/>
                    <w:jc w:val="center"/>
                    <w:widowControl/>
                    <w:rPr>
                      <w:rStyle w:val="913"/>
                      <w14:ligatures w14:val="none"/>
                    </w:rPr>
                  </w:pPr>
                  <w:r>
                    <w:rPr>
                      <w:rStyle w:val="913"/>
                      <w:sz w:val="24"/>
                      <w:szCs w:val="24"/>
                    </w:rPr>
                    <w:t xml:space="preserve">     </w:t>
                  </w:r>
                  <w:r>
                    <w:rPr>
                      <w:rStyle w:val="913"/>
                      <w:sz w:val="24"/>
                      <w:szCs w:val="24"/>
                    </w:rPr>
                    <w:t xml:space="preserve">4702</w:t>
                  </w:r>
                  <w:r>
                    <w:rPr>
                      <w:rStyle w:val="913"/>
                      <w:sz w:val="24"/>
                      <w:szCs w:val="24"/>
                    </w:rPr>
                  </w:r>
                  <w:r>
                    <w:rPr>
                      <w:rStyle w:val="91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435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4"/>
                    <w:jc w:val="center"/>
                    <w:widowControl/>
                    <w:rPr>
                      <w:rStyle w:val="913"/>
                      <w14:ligatures w14:val="none"/>
                    </w:rPr>
                  </w:pPr>
                  <w:r>
                    <w:rPr>
                      <w:rStyle w:val="913"/>
                      <w:sz w:val="24"/>
                      <w:szCs w:val="24"/>
                    </w:rPr>
                    <w:t xml:space="preserve">     </w:t>
                  </w:r>
                  <w:r>
                    <w:rPr>
                      <w:rStyle w:val="913"/>
                      <w:sz w:val="24"/>
                      <w:szCs w:val="24"/>
                    </w:rPr>
                    <w:t xml:space="preserve">Регистрационный номер</w:t>
                  </w:r>
                  <w:r>
                    <w:rPr>
                      <w:rStyle w:val="913"/>
                      <w:sz w:val="24"/>
                      <w:szCs w:val="24"/>
                    </w:rPr>
                  </w:r>
                  <w:r>
                    <w:rPr>
                      <w:rStyle w:val="913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533" w:type="dxa"/>
                  <w:vAlign w:val="center"/>
                  <w:textDirection w:val="lrTb"/>
                  <w:noWrap w:val="false"/>
                </w:tcPr>
                <w:p>
                  <w:pPr>
                    <w:pStyle w:val="914"/>
                    <w:jc w:val="center"/>
                    <w:widowControl/>
                    <w:rPr>
                      <w:rStyle w:val="913"/>
                      <w14:ligatures w14:val="none"/>
                    </w:rPr>
                  </w:pPr>
                  <w:r>
                    <w:rPr>
                      <w:rStyle w:val="913"/>
                      <w:sz w:val="24"/>
                      <w:szCs w:val="24"/>
                    </w:rPr>
                    <w:t xml:space="preserve">М654ВХ102</w:t>
                  </w:r>
                  <w:r>
                    <w:rPr>
                      <w:rStyle w:val="913"/>
                      <w:sz w:val="24"/>
                      <w:szCs w:val="24"/>
                      <w:lang w:val="en-US"/>
                    </w:rPr>
                  </w:r>
                  <w:r>
                    <w:rPr>
                      <w:rStyle w:val="91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00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4"/>
                    <w:jc w:val="center"/>
                    <w:widowControl/>
                    <w:rPr>
                      <w:rStyle w:val="913"/>
                      <w14:ligatures w14:val="none"/>
                    </w:rPr>
                  </w:pPr>
                  <w:r>
                    <w:rPr>
                      <w:rStyle w:val="913"/>
                      <w:sz w:val="24"/>
                      <w:szCs w:val="24"/>
                    </w:rPr>
                    <w:t xml:space="preserve">     </w:t>
                  </w:r>
                  <w:r>
                    <w:rPr>
                      <w:rStyle w:val="913"/>
                      <w:sz w:val="24"/>
                      <w:szCs w:val="24"/>
                    </w:rPr>
                    <w:t xml:space="preserve">Идентификационный номер (VIN)</w:t>
                  </w:r>
                  <w:r>
                    <w:rPr>
                      <w:rStyle w:val="913"/>
                      <w:sz w:val="24"/>
                      <w:szCs w:val="24"/>
                    </w:rPr>
                  </w:r>
                  <w:r>
                    <w:rPr>
                      <w:rStyle w:val="913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533" w:type="dxa"/>
                  <w:vAlign w:val="center"/>
                  <w:textDirection w:val="lrTb"/>
                  <w:noWrap w:val="false"/>
                </w:tcPr>
                <w:p>
                  <w:pPr>
                    <w:pStyle w:val="914"/>
                    <w:jc w:val="center"/>
                    <w:widowControl/>
                    <w:rPr>
                      <w:rStyle w:val="913"/>
                      <w14:ligatures w14:val="none"/>
                    </w:rPr>
                  </w:pPr>
                  <w:r>
                    <w:rPr>
                      <w:rStyle w:val="913"/>
                      <w:sz w:val="24"/>
                      <w:szCs w:val="24"/>
                    </w:rPr>
                    <w:t xml:space="preserve">XWK27175090024218</w:t>
                  </w:r>
                  <w:r>
                    <w:rPr>
                      <w:rStyle w:val="913"/>
                      <w:sz w:val="24"/>
                      <w:szCs w:val="24"/>
                    </w:rPr>
                  </w:r>
                  <w:r>
                    <w:rPr>
                      <w:rStyle w:val="913"/>
                      <w:sz w:val="24"/>
                      <w:szCs w:val="24"/>
                    </w:rPr>
                  </w:r>
                </w:p>
              </w:tc>
            </w:tr>
            <w:tr>
              <w:trPr>
                <w:cantSplit/>
                <w:trHeight w:val="341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4"/>
                    <w:jc w:val="center"/>
                    <w:widowControl/>
                    <w:rPr>
                      <w:rStyle w:val="913"/>
                      <w14:ligatures w14:val="none"/>
                    </w:rPr>
                  </w:pPr>
                  <w:r>
                    <w:rPr>
                      <w:rStyle w:val="913"/>
                      <w:sz w:val="24"/>
                      <w:szCs w:val="24"/>
                    </w:rPr>
                    <w:t xml:space="preserve">     </w:t>
                  </w:r>
                  <w:r>
                    <w:rPr>
                      <w:rStyle w:val="913"/>
                      <w:sz w:val="24"/>
                      <w:szCs w:val="24"/>
                    </w:rPr>
                    <w:t xml:space="preserve">Год выпуска ТС</w:t>
                  </w:r>
                  <w:r>
                    <w:rPr>
                      <w:rStyle w:val="913"/>
                      <w:sz w:val="24"/>
                      <w:szCs w:val="24"/>
                    </w:rPr>
                  </w:r>
                  <w:r>
                    <w:rPr>
                      <w:rStyle w:val="913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533" w:type="dxa"/>
                  <w:vAlign w:val="center"/>
                  <w:textDirection w:val="lrTb"/>
                  <w:noWrap w:val="false"/>
                </w:tcPr>
                <w:p>
                  <w:pPr>
                    <w:pStyle w:val="914"/>
                    <w:jc w:val="center"/>
                    <w:widowControl/>
                    <w:rPr>
                      <w:rStyle w:val="913"/>
                      <w14:ligatures w14:val="none"/>
                    </w:rPr>
                  </w:pPr>
                  <w:r>
                    <w:rPr>
                      <w:rStyle w:val="913"/>
                      <w:sz w:val="24"/>
                      <w:szCs w:val="24"/>
                    </w:rPr>
                    <w:t xml:space="preserve">20</w:t>
                  </w:r>
                  <w:r>
                    <w:rPr>
                      <w:rStyle w:val="913"/>
                      <w:sz w:val="24"/>
                      <w:szCs w:val="24"/>
                      <w:lang w:val="en-US"/>
                    </w:rPr>
                    <w:t xml:space="preserve">09</w:t>
                  </w:r>
                  <w:r>
                    <w:rPr>
                      <w:rStyle w:val="913"/>
                      <w:sz w:val="24"/>
                      <w:szCs w:val="24"/>
                    </w:rPr>
                  </w:r>
                  <w:r>
                    <w:rPr>
                      <w:rStyle w:val="91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90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4"/>
                    <w:jc w:val="center"/>
                    <w:widowControl/>
                    <w:rPr>
                      <w:rStyle w:val="913"/>
                      <w14:ligatures w14:val="none"/>
                    </w:rPr>
                  </w:pPr>
                  <w:r>
                    <w:rPr>
                      <w:rStyle w:val="913"/>
                      <w:sz w:val="24"/>
                      <w:szCs w:val="24"/>
                    </w:rPr>
                    <w:t xml:space="preserve">     </w:t>
                  </w:r>
                  <w:r>
                    <w:rPr>
                      <w:rStyle w:val="913"/>
                      <w:sz w:val="24"/>
                      <w:szCs w:val="24"/>
                    </w:rPr>
                    <w:t xml:space="preserve">Модель, № двигателя</w:t>
                  </w:r>
                  <w:r>
                    <w:rPr>
                      <w:rStyle w:val="913"/>
                      <w:sz w:val="24"/>
                      <w:szCs w:val="24"/>
                    </w:rPr>
                  </w:r>
                  <w:r>
                    <w:rPr>
                      <w:rStyle w:val="913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533" w:type="dxa"/>
                  <w:vAlign w:val="center"/>
                  <w:textDirection w:val="lrTb"/>
                  <w:noWrap w:val="false"/>
                </w:tcPr>
                <w:p>
                  <w:pPr>
                    <w:pStyle w:val="914"/>
                    <w:jc w:val="center"/>
                    <w:widowControl/>
                    <w:rPr>
                      <w:rStyle w:val="913"/>
                      <w14:ligatures w14:val="none"/>
                    </w:rPr>
                  </w:pPr>
                  <w:r>
                    <w:rPr>
                      <w:rStyle w:val="913"/>
                      <w:sz w:val="24"/>
                      <w:szCs w:val="24"/>
                    </w:rPr>
                    <w:t xml:space="preserve">21067, 9159212</w:t>
                  </w:r>
                  <w:r>
                    <w:rPr>
                      <w:rStyle w:val="913"/>
                      <w:sz w:val="24"/>
                      <w:szCs w:val="24"/>
                    </w:rPr>
                  </w:r>
                  <w:r>
                    <w:rPr>
                      <w:rStyle w:val="91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55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4"/>
                    <w:jc w:val="center"/>
                    <w:widowControl/>
                    <w:rPr>
                      <w:rStyle w:val="913"/>
                      <w14:ligatures w14:val="none"/>
                    </w:rPr>
                  </w:pPr>
                  <w:r>
                    <w:rPr>
                      <w:rStyle w:val="913"/>
                      <w:sz w:val="24"/>
                      <w:szCs w:val="24"/>
                    </w:rPr>
                    <w:t xml:space="preserve">     </w:t>
                  </w:r>
                  <w:r>
                    <w:rPr>
                      <w:rStyle w:val="913"/>
                      <w:sz w:val="24"/>
                      <w:szCs w:val="24"/>
                    </w:rPr>
                    <w:t xml:space="preserve">Шасси, (рама) №</w:t>
                  </w:r>
                  <w:r>
                    <w:rPr>
                      <w:rStyle w:val="913"/>
                      <w:sz w:val="24"/>
                      <w:szCs w:val="24"/>
                    </w:rPr>
                  </w:r>
                  <w:r>
                    <w:rPr>
                      <w:rStyle w:val="913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533" w:type="dxa"/>
                  <w:vAlign w:val="center"/>
                  <w:textDirection w:val="lrTb"/>
                  <w:noWrap w:val="false"/>
                </w:tcPr>
                <w:p>
                  <w:pPr>
                    <w:pStyle w:val="914"/>
                    <w:jc w:val="center"/>
                    <w:widowControl/>
                    <w:rPr>
                      <w:rStyle w:val="913"/>
                      <w14:ligatures w14:val="none"/>
                    </w:rPr>
                  </w:pPr>
                  <w:r>
                    <w:rPr>
                      <w:rStyle w:val="913"/>
                      <w:sz w:val="24"/>
                      <w:szCs w:val="24"/>
                      <w:lang w:val="en-US"/>
                    </w:rPr>
                    <w:t xml:space="preserve">НЕ УСТАНОВЛЕНО</w:t>
                  </w:r>
                  <w:r>
                    <w:rPr>
                      <w:rStyle w:val="913"/>
                      <w:sz w:val="24"/>
                      <w:szCs w:val="24"/>
                    </w:rPr>
                  </w:r>
                  <w:r>
                    <w:rPr>
                      <w:rStyle w:val="91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55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4"/>
                    <w:jc w:val="center"/>
                    <w:widowControl/>
                    <w:rPr>
                      <w:rStyle w:val="913"/>
                      <w14:ligatures w14:val="none"/>
                    </w:rPr>
                  </w:pPr>
                  <w:r>
                    <w:rPr>
                      <w:rStyle w:val="913"/>
                      <w:sz w:val="24"/>
                      <w:szCs w:val="24"/>
                    </w:rPr>
                    <w:t xml:space="preserve">     </w:t>
                  </w:r>
                  <w:r>
                    <w:rPr>
                      <w:rStyle w:val="913"/>
                      <w:sz w:val="24"/>
                      <w:szCs w:val="24"/>
                    </w:rPr>
                    <w:t xml:space="preserve">Кузов, (прицеп) №</w:t>
                  </w:r>
                  <w:r>
                    <w:rPr>
                      <w:rStyle w:val="913"/>
                      <w:sz w:val="24"/>
                      <w:szCs w:val="24"/>
                    </w:rPr>
                  </w:r>
                  <w:r>
                    <w:rPr>
                      <w:rStyle w:val="913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533" w:type="dxa"/>
                  <w:vAlign w:val="center"/>
                  <w:textDirection w:val="lrTb"/>
                  <w:noWrap w:val="false"/>
                </w:tcPr>
                <w:p>
                  <w:pPr>
                    <w:pStyle w:val="914"/>
                    <w:jc w:val="center"/>
                    <w:widowControl/>
                    <w:rPr>
                      <w:rStyle w:val="913"/>
                      <w14:ligatures w14:val="none"/>
                    </w:rPr>
                  </w:pPr>
                  <w:r>
                    <w:rPr>
                      <w:rStyle w:val="913"/>
                      <w:sz w:val="24"/>
                      <w:szCs w:val="24"/>
                    </w:rPr>
                    <w:t xml:space="preserve">XWK27175090024218</w:t>
                  </w:r>
                  <w:r>
                    <w:rPr>
                      <w:rStyle w:val="913"/>
                      <w:sz w:val="24"/>
                      <w:szCs w:val="24"/>
                    </w:rPr>
                  </w:r>
                  <w:r>
                    <w:rPr>
                      <w:rStyle w:val="91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90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4"/>
                    <w:jc w:val="center"/>
                    <w:widowControl/>
                    <w:rPr>
                      <w:rStyle w:val="913"/>
                      <w14:ligatures w14:val="none"/>
                    </w:rPr>
                  </w:pPr>
                  <w:r>
                    <w:rPr>
                      <w:rStyle w:val="913"/>
                      <w:sz w:val="24"/>
                      <w:szCs w:val="24"/>
                    </w:rPr>
                    <w:t xml:space="preserve">     </w:t>
                  </w:r>
                  <w:r>
                    <w:rPr>
                      <w:rStyle w:val="913"/>
                      <w:sz w:val="24"/>
                      <w:szCs w:val="24"/>
                    </w:rPr>
                    <w:t xml:space="preserve">Цвет кузова (кабины)</w:t>
                  </w:r>
                  <w:r>
                    <w:rPr>
                      <w:rStyle w:val="913"/>
                      <w:sz w:val="24"/>
                      <w:szCs w:val="24"/>
                    </w:rPr>
                  </w:r>
                  <w:r>
                    <w:rPr>
                      <w:rStyle w:val="913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533" w:type="dxa"/>
                  <w:vAlign w:val="center"/>
                  <w:textDirection w:val="lrTb"/>
                  <w:noWrap w:val="false"/>
                </w:tcPr>
                <w:p>
                  <w:pPr>
                    <w:pStyle w:val="914"/>
                    <w:jc w:val="center"/>
                    <w:widowControl/>
                    <w:rPr>
                      <w:rStyle w:val="913"/>
                      <w14:ligatures w14:val="none"/>
                    </w:rPr>
                  </w:pPr>
                  <w:r>
                    <w:rPr>
                      <w:rStyle w:val="913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913"/>
                      <w:sz w:val="24"/>
                      <w:szCs w:val="24"/>
                    </w:rPr>
                    <w:t xml:space="preserve">Калипсо синий</w:t>
                  </w:r>
                  <w:r>
                    <w:rPr>
                      <w:rStyle w:val="913"/>
                      <w:sz w:val="24"/>
                      <w:szCs w:val="24"/>
                    </w:rPr>
                  </w:r>
                  <w:r>
                    <w:rPr>
                      <w:rStyle w:val="91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60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4"/>
                    <w:jc w:val="center"/>
                    <w:widowControl/>
                    <w:rPr>
                      <w:rStyle w:val="913"/>
                      <w14:ligatures w14:val="none"/>
                    </w:rPr>
                  </w:pPr>
                  <w:r>
                    <w:rPr>
                      <w:rStyle w:val="913"/>
                      <w:sz w:val="24"/>
                      <w:szCs w:val="24"/>
                    </w:rPr>
                    <w:t xml:space="preserve">     </w:t>
                  </w:r>
                  <w:r>
                    <w:rPr>
                      <w:rStyle w:val="913"/>
                      <w:sz w:val="24"/>
                      <w:szCs w:val="24"/>
                    </w:rPr>
                    <w:t xml:space="preserve">Паспорт транспортного средства (ПТС)</w:t>
                  </w:r>
                  <w:r>
                    <w:rPr>
                      <w:rStyle w:val="913"/>
                      <w:sz w:val="24"/>
                      <w:szCs w:val="24"/>
                    </w:rPr>
                  </w:r>
                  <w:r>
                    <w:rPr>
                      <w:rStyle w:val="913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533" w:type="dxa"/>
                  <w:textDirection w:val="lrTb"/>
                  <w:noWrap w:val="false"/>
                </w:tcPr>
                <w:p>
                  <w:pPr>
                    <w:pStyle w:val="914"/>
                    <w:jc w:val="center"/>
                    <w:widowControl/>
                    <w:rPr>
                      <w:rStyle w:val="913"/>
                      <w14:ligatures w14:val="none"/>
                    </w:rPr>
                  </w:pPr>
                  <w:r>
                    <w:rPr>
                      <w:rStyle w:val="913"/>
                      <w:sz w:val="24"/>
                      <w:szCs w:val="24"/>
                    </w:rPr>
                    <w:t xml:space="preserve">02 НУ № 787010 от 11.04.2014г.</w:t>
                  </w:r>
                  <w:r>
                    <w:rPr>
                      <w:rStyle w:val="913"/>
                      <w:sz w:val="24"/>
                      <w:szCs w:val="24"/>
                    </w:rPr>
                  </w:r>
                  <w:r>
                    <w:rPr>
                      <w:rStyle w:val="91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4"/>
                    <w:jc w:val="center"/>
                    <w:widowControl/>
                    <w:rPr>
                      <w:rStyle w:val="913"/>
                      <w14:ligatures w14:val="none"/>
                    </w:rPr>
                  </w:pPr>
                  <w:r>
                    <w:rPr>
                      <w:rStyle w:val="913"/>
                      <w:sz w:val="24"/>
                      <w:szCs w:val="24"/>
                    </w:rPr>
                    <w:t xml:space="preserve">Свидетельство о регистрации ТС</w:t>
                  </w:r>
                  <w:r>
                    <w:rPr>
                      <w:rStyle w:val="913"/>
                      <w:sz w:val="24"/>
                      <w:szCs w:val="24"/>
                    </w:rPr>
                  </w:r>
                  <w:r>
                    <w:rPr>
                      <w:rStyle w:val="913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533" w:type="dxa"/>
                  <w:textDirection w:val="lrTb"/>
                  <w:noWrap w:val="false"/>
                </w:tcPr>
                <w:p>
                  <w:pPr>
                    <w:pStyle w:val="914"/>
                    <w:jc w:val="center"/>
                    <w:widowControl/>
                    <w:rPr>
                      <w:rStyle w:val="913"/>
                      <w14:ligatures w14:val="none"/>
                    </w:rPr>
                  </w:pPr>
                  <w:r>
                    <w:rPr>
                      <w:rStyle w:val="913"/>
                      <w:sz w:val="24"/>
                      <w:szCs w:val="24"/>
                    </w:rPr>
                    <w:t xml:space="preserve">02 13 № 812950 от 11.04.2014г.</w:t>
                  </w:r>
                  <w:r>
                    <w:rPr>
                      <w:rStyle w:val="913"/>
                      <w:sz w:val="24"/>
                      <w:szCs w:val="24"/>
                    </w:rPr>
                  </w:r>
                  <w:r>
                    <w:rPr>
                      <w:rStyle w:val="91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4"/>
                    <w:jc w:val="center"/>
                    <w:widowControl/>
                    <w:rPr>
                      <w:rStyle w:val="913"/>
                      <w14:ligatures w14:val="none"/>
                    </w:rPr>
                  </w:pPr>
                  <w:r>
                    <w:rPr>
                      <w:rStyle w:val="913"/>
                      <w:sz w:val="24"/>
                      <w:szCs w:val="24"/>
                    </w:rPr>
                    <w:t xml:space="preserve">Балансовая стоимость, руб.</w:t>
                  </w:r>
                  <w:r>
                    <w:rPr>
                      <w:rStyle w:val="913"/>
                      <w:sz w:val="24"/>
                      <w:szCs w:val="24"/>
                    </w:rPr>
                  </w:r>
                  <w:r>
                    <w:rPr>
                      <w:rStyle w:val="913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533" w:type="dxa"/>
                  <w:vAlign w:val="center"/>
                  <w:textDirection w:val="lrTb"/>
                  <w:noWrap w:val="false"/>
                </w:tcPr>
                <w:p>
                  <w:pPr>
                    <w:pStyle w:val="914"/>
                    <w:jc w:val="center"/>
                    <w:widowControl/>
                    <w:rPr>
                      <w:rStyle w:val="913"/>
                      <w14:ligatures w14:val="none"/>
                    </w:rPr>
                  </w:pPr>
                  <w:r>
                    <w:rPr>
                      <w:rStyle w:val="913"/>
                      <w:sz w:val="24"/>
                      <w:szCs w:val="24"/>
                    </w:rPr>
                    <w:t xml:space="preserve">180 228,81</w:t>
                  </w:r>
                  <w:r>
                    <w:rPr>
                      <w:rStyle w:val="913"/>
                      <w:sz w:val="24"/>
                      <w:szCs w:val="24"/>
                    </w:rPr>
                  </w:r>
                  <w:r>
                    <w:rPr>
                      <w:rStyle w:val="91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4"/>
                    <w:jc w:val="center"/>
                    <w:widowControl/>
                    <w:rPr>
                      <w:rStyle w:val="913"/>
                      <w14:ligatures w14:val="none"/>
                    </w:rPr>
                  </w:pPr>
                  <w:r>
                    <w:rPr>
                      <w:rStyle w:val="913"/>
                      <w:sz w:val="24"/>
                      <w:szCs w:val="24"/>
                    </w:rPr>
                    <w:t xml:space="preserve">Остаточная стоимость, руб.</w:t>
                  </w:r>
                  <w:r>
                    <w:rPr>
                      <w:rStyle w:val="913"/>
                      <w:sz w:val="24"/>
                      <w:szCs w:val="24"/>
                    </w:rPr>
                  </w:r>
                  <w:r>
                    <w:rPr>
                      <w:rStyle w:val="913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533" w:type="dxa"/>
                  <w:textDirection w:val="lrTb"/>
                  <w:noWrap w:val="false"/>
                </w:tcPr>
                <w:p>
                  <w:pPr>
                    <w:pStyle w:val="914"/>
                    <w:jc w:val="center"/>
                    <w:widowControl/>
                    <w:rPr>
                      <w:rStyle w:val="913"/>
                      <w14:ligatures w14:val="none"/>
                    </w:rPr>
                  </w:pPr>
                  <w:r>
                    <w:rPr>
                      <w:rStyle w:val="913"/>
                      <w:sz w:val="24"/>
                      <w:szCs w:val="24"/>
                    </w:rPr>
                    <w:t xml:space="preserve">9675,98</w:t>
                  </w:r>
                  <w:r>
                    <w:rPr>
                      <w:rStyle w:val="913"/>
                      <w:sz w:val="24"/>
                      <w:szCs w:val="24"/>
                    </w:rPr>
                  </w:r>
                  <w:r>
                    <w:rPr>
                      <w:rStyle w:val="91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4"/>
                    <w:jc w:val="center"/>
                    <w:widowControl/>
                    <w:rPr>
                      <w:rStyle w:val="913"/>
                      <w14:ligatures w14:val="none"/>
                    </w:rPr>
                  </w:pPr>
                  <w:r>
                    <w:rPr>
                      <w:rStyle w:val="913"/>
                      <w:sz w:val="24"/>
                      <w:szCs w:val="24"/>
                    </w:rPr>
                    <w:t xml:space="preserve">    </w:t>
                  </w:r>
                  <w:r>
                    <w:rPr>
                      <w:rStyle w:val="913"/>
                      <w:sz w:val="24"/>
                      <w:szCs w:val="24"/>
                    </w:rPr>
                    <w:t xml:space="preserve">Пробег (показания одометра) км</w:t>
                  </w:r>
                  <w:r>
                    <w:rPr>
                      <w:rStyle w:val="913"/>
                      <w:sz w:val="24"/>
                      <w:szCs w:val="24"/>
                    </w:rPr>
                  </w:r>
                  <w:r>
                    <w:rPr>
                      <w:rStyle w:val="913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533" w:type="dxa"/>
                  <w:textDirection w:val="lrTb"/>
                  <w:noWrap w:val="false"/>
                </w:tcPr>
                <w:p>
                  <w:pPr>
                    <w:pStyle w:val="914"/>
                    <w:jc w:val="center"/>
                    <w:widowControl/>
                    <w:rPr>
                      <w:rStyle w:val="913"/>
                      <w14:ligatures w14:val="none"/>
                    </w:rPr>
                  </w:pPr>
                  <w:r>
                    <w:rPr>
                      <w:rStyle w:val="913"/>
                      <w:sz w:val="24"/>
                      <w:szCs w:val="24"/>
                    </w:rPr>
                    <w:t xml:space="preserve">196519</w:t>
                  </w:r>
                  <w:r>
                    <w:rPr>
                      <w:rStyle w:val="913"/>
                      <w:sz w:val="24"/>
                      <w:szCs w:val="24"/>
                    </w:rPr>
                  </w:r>
                  <w:r>
                    <w:rPr>
                      <w:rStyle w:val="913"/>
                      <w:sz w:val="24"/>
                      <w:szCs w:val="24"/>
                    </w:rPr>
                  </w:r>
                </w:p>
              </w:tc>
            </w:tr>
          </w:tbl>
          <w:p>
            <w:pPr>
              <w:jc w:val="both"/>
              <w:rPr>
                <w:rStyle w:val="913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cs="Times New Roman"/>
                <w:sz w:val="24"/>
                <w:szCs w:val="24"/>
                <w:highlight w:val="yellow"/>
              </w:rPr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4"/>
              <w:widowControl/>
              <w:rPr>
                <w:rStyle w:val="913"/>
                <w:sz w:val="24"/>
              </w:rPr>
            </w:pPr>
            <w:r>
              <w:rPr>
                <w:rStyle w:val="913"/>
                <w:sz w:val="24"/>
              </w:rPr>
              <w:t xml:space="preserve">2.4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Начальная (минимальная) цена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предмета договора (лота)</w:t>
            </w:r>
            <w:r/>
          </w:p>
        </w:tc>
        <w:tc>
          <w:tcPr>
            <w:shd w:val="clear" w:color="auto" w:fill="bfbfbf" w:themeFill="background1" w:themeFillShade="BF"/>
            <w:tcW w:w="6061" w:type="dxa"/>
            <w:textDirection w:val="lrTb"/>
            <w:noWrap w:val="false"/>
          </w:tcPr>
          <w:p>
            <w:pPr>
              <w:pStyle w:val="917"/>
              <w:rPr>
                <w:rStyle w:val="913"/>
                <w:b/>
                <w:sz w:val="24"/>
                <w:highlight w:val="yellow"/>
              </w:rPr>
            </w:pPr>
            <w:r>
              <w:rPr>
                <w:rStyle w:val="913"/>
                <w:b/>
                <w:sz w:val="24"/>
              </w:rPr>
            </w:r>
            <w:r>
              <w:rPr>
                <w:rStyle w:val="913"/>
                <w:b/>
                <w:sz w:val="24"/>
              </w:rPr>
            </w:r>
            <w:r>
              <w:rPr>
                <w:rStyle w:val="913"/>
                <w:b/>
                <w:sz w:val="24"/>
              </w:rPr>
              <w:t xml:space="preserve">144 800,00</w:t>
            </w:r>
            <w:r>
              <w:rPr>
                <w:rStyle w:val="913"/>
                <w:b/>
                <w:sz w:val="24"/>
              </w:rPr>
            </w:r>
            <w:r>
              <w:rPr>
                <w:rStyle w:val="913"/>
                <w:b/>
                <w:sz w:val="24"/>
              </w:rPr>
              <w:t xml:space="preserve"> </w:t>
            </w:r>
            <w:r>
              <w:rPr>
                <w:rStyle w:val="913"/>
                <w:b/>
                <w:sz w:val="24"/>
              </w:rPr>
              <w:t xml:space="preserve">руб. </w:t>
            </w:r>
            <w:r>
              <w:rPr>
                <w:rStyle w:val="913"/>
                <w:b/>
                <w:sz w:val="24"/>
              </w:rPr>
              <w:t xml:space="preserve">в т.ч. НДС</w:t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4"/>
              <w:widowControl/>
              <w:rPr>
                <w:rStyle w:val="913"/>
                <w:sz w:val="24"/>
              </w:rPr>
            </w:pPr>
            <w:r>
              <w:rPr>
                <w:rStyle w:val="913"/>
                <w:sz w:val="24"/>
              </w:rPr>
              <w:t xml:space="preserve">2.5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4"/>
              <w:widowControl/>
            </w:pPr>
            <w:r>
              <w:t xml:space="preserve">Внесение задатка</w:t>
            </w:r>
            <w:r/>
          </w:p>
        </w:tc>
        <w:tc>
          <w:tcPr>
            <w:shd w:val="clear" w:color="auto" w:fill="bfbfbf" w:themeFill="background1" w:themeFillShade="BF"/>
            <w:tcW w:w="606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Предусмотрено</w:t>
            </w:r>
            <w:r/>
          </w:p>
        </w:tc>
      </w:tr>
      <w:tr>
        <w:trPr>
          <w:trHeight w:val="276"/>
        </w:trPr>
        <w:tc>
          <w:tcPr>
            <w:tcW w:w="864" w:type="dxa"/>
            <w:vMerge w:val="restart"/>
            <w:textDirection w:val="lrTb"/>
            <w:noWrap w:val="false"/>
          </w:tcPr>
          <w:p>
            <w:pPr>
              <w:pStyle w:val="914"/>
              <w:widowControl/>
              <w:rPr>
                <w:rStyle w:val="913"/>
                <w:sz w:val="24"/>
              </w:rPr>
            </w:pPr>
            <w:r>
              <w:rPr>
                <w:rStyle w:val="913"/>
                <w:sz w:val="24"/>
              </w:rPr>
              <w:t xml:space="preserve">2.5.1</w:t>
            </w:r>
            <w:r/>
          </w:p>
        </w:tc>
        <w:tc>
          <w:tcPr>
            <w:tcW w:w="3740" w:type="dxa"/>
            <w:vMerge w:val="restart"/>
            <w:textDirection w:val="lrTb"/>
            <w:noWrap w:val="false"/>
          </w:tcPr>
          <w:p>
            <w:pPr>
              <w:pStyle w:val="914"/>
              <w:widowControl/>
            </w:pPr>
            <w:r>
              <w:t xml:space="preserve">Размер задатка</w:t>
            </w:r>
            <w:r/>
          </w:p>
        </w:tc>
        <w:tc>
          <w:tcPr>
            <w:shd w:val="clear" w:color="ffffff" w:fill="bfbfbf" w:themeFill="background1" w:themeFillShade="BF"/>
            <w:tcW w:w="6061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5% от начальной (минимальной) цены лота</w:t>
            </w:r>
            <w:r/>
          </w:p>
        </w:tc>
      </w:tr>
      <w:tr>
        <w:trPr/>
        <w:tc>
          <w:tcPr>
            <w:gridSpan w:val="3"/>
            <w:shd w:val="clear" w:color="auto" w:fill="auto"/>
            <w:tcW w:w="10665" w:type="dxa"/>
            <w:textDirection w:val="lrTb"/>
            <w:noWrap w:val="false"/>
          </w:tcPr>
          <w:p>
            <w:pPr>
              <w:pStyle w:val="914"/>
              <w:widowControl/>
              <w:rPr>
                <w:rStyle w:val="913"/>
                <w:b/>
                <w:sz w:val="24"/>
              </w:rPr>
            </w:pPr>
            <w:r>
              <w:rPr>
                <w:b/>
              </w:rPr>
              <w:t xml:space="preserve">3. Место и дата подачи заявок, рассмотрения Заявок, подведения итогов закупки</w:t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4"/>
              <w:widowControl/>
              <w:rPr>
                <w:rStyle w:val="913"/>
                <w:sz w:val="24"/>
              </w:rPr>
            </w:pPr>
            <w:r>
              <w:rPr>
                <w:rStyle w:val="913"/>
                <w:sz w:val="24"/>
              </w:rPr>
              <w:t xml:space="preserve">3.1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4"/>
              <w:widowControl/>
              <w:rPr>
                <w:rStyle w:val="913"/>
                <w:b/>
                <w:sz w:val="24"/>
              </w:rPr>
            </w:pPr>
            <w:r>
              <w:t xml:space="preserve">Дата начала подачи заявок</w:t>
            </w:r>
            <w:r/>
          </w:p>
        </w:tc>
        <w:tc>
          <w:tcPr>
            <w:shd w:val="clear" w:color="auto" w:fill="auto"/>
            <w:tcW w:w="6061" w:type="dxa"/>
            <w:textDirection w:val="lrTb"/>
            <w:noWrap w:val="false"/>
          </w:tcPr>
          <w:p>
            <w:pPr>
              <w:jc w:val="both"/>
              <w:widowControl w:val="off"/>
              <w:rPr>
                <w:rStyle w:val="913"/>
                <w:rFonts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</w:t>
            </w:r>
            <w:r>
              <w:rPr>
                <w:rStyle w:val="913"/>
                <w:rFonts w:cs="Times New Roman"/>
                <w:b/>
                <w:sz w:val="24"/>
                <w:szCs w:val="24"/>
              </w:rPr>
              <w:t xml:space="preserve"> </w:t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4"/>
              <w:widowControl/>
              <w:rPr>
                <w:rStyle w:val="913"/>
                <w:sz w:val="24"/>
              </w:rPr>
            </w:pPr>
            <w:r>
              <w:rPr>
                <w:rStyle w:val="913"/>
                <w:sz w:val="24"/>
              </w:rPr>
              <w:t xml:space="preserve">3.2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4"/>
              <w:widowControl/>
            </w:pPr>
            <w:r>
              <w:t xml:space="preserve">Место подачи заявок</w:t>
            </w:r>
            <w:r/>
          </w:p>
        </w:tc>
        <w:tc>
          <w:tcPr>
            <w:shd w:val="clear" w:color="auto" w:fill="auto"/>
            <w:tcW w:w="6061" w:type="dxa"/>
            <w:textDirection w:val="lrTb"/>
            <w:noWrap w:val="false"/>
          </w:tcPr>
          <w:p>
            <w:pPr>
              <w:pStyle w:val="917"/>
              <w:jc w:val="both"/>
            </w:pPr>
            <w:r>
              <w:t xml:space="preserve">в форме электронных документов через сайт Организатора </w:t>
            </w:r>
            <w:hyperlink r:id="rId11" w:tooltip="https://www.bashgaz.ru/" w:history="1">
              <w:r>
                <w:rPr>
                  <w:rStyle w:val="915"/>
                </w:rPr>
                <w:t xml:space="preserve">https://www.bashgaz.ru/</w:t>
              </w:r>
            </w:hyperlink>
            <w:r/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4"/>
              <w:widowControl/>
              <w:rPr>
                <w:rStyle w:val="913"/>
                <w:sz w:val="24"/>
              </w:rPr>
            </w:pPr>
            <w:r>
              <w:rPr>
                <w:rStyle w:val="913"/>
                <w:sz w:val="24"/>
              </w:rPr>
              <w:t xml:space="preserve">3.3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4"/>
              <w:widowControl/>
              <w:rPr>
                <w:rStyle w:val="913"/>
                <w:b/>
                <w:sz w:val="24"/>
              </w:rPr>
            </w:pPr>
            <w:r>
              <w:t xml:space="preserve">Дата окончания подачи заявок</w:t>
            </w:r>
            <w:r/>
          </w:p>
        </w:tc>
        <w:tc>
          <w:tcPr>
            <w:shd w:val="clear" w:color="auto" w:fill="auto"/>
            <w:tcW w:w="6061" w:type="dxa"/>
            <w:textDirection w:val="lrTb"/>
            <w:noWrap w:val="false"/>
          </w:tcPr>
          <w:p>
            <w:pPr>
              <w:pStyle w:val="917"/>
              <w:rPr>
                <w:rStyle w:val="913"/>
                <w:b/>
                <w:sz w:val="24"/>
              </w:rPr>
            </w:pP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  <w:t xml:space="preserve">08.12.2025</w:t>
            </w:r>
            <w:r>
              <w:rPr>
                <w:rStyle w:val="913"/>
                <w:b/>
                <w:sz w:val="24"/>
              </w:rPr>
              <w:t xml:space="preserve"> в 11ч.00</w:t>
            </w:r>
            <w:bookmarkStart w:id="0" w:name="_GoBack"/>
            <w:r/>
            <w:bookmarkEnd w:id="0"/>
            <w:r>
              <w:rPr>
                <w:rStyle w:val="913"/>
                <w:b/>
                <w:sz w:val="24"/>
              </w:rPr>
              <w:t xml:space="preserve"> мин. </w:t>
            </w:r>
            <w:r/>
          </w:p>
          <w:p>
            <w:pPr>
              <w:pStyle w:val="914"/>
              <w:widowControl/>
              <w:rPr>
                <w:rStyle w:val="913"/>
                <w:sz w:val="24"/>
              </w:rPr>
            </w:pPr>
            <w:r>
              <w:rPr>
                <w:rStyle w:val="913"/>
                <w:sz w:val="24"/>
              </w:rPr>
              <w:t xml:space="preserve">(местн. вр. заказчика)</w:t>
            </w:r>
            <w:r/>
          </w:p>
        </w:tc>
      </w:tr>
      <w:tr>
        <w:trPr>
          <w:trHeight w:val="623"/>
        </w:trPr>
        <w:tc>
          <w:tcPr>
            <w:tcW w:w="864" w:type="dxa"/>
            <w:textDirection w:val="lrTb"/>
            <w:noWrap w:val="false"/>
          </w:tcPr>
          <w:p>
            <w:pPr>
              <w:pStyle w:val="914"/>
              <w:widowControl/>
              <w:rPr>
                <w:rStyle w:val="913"/>
                <w:sz w:val="24"/>
              </w:rPr>
            </w:pPr>
            <w:r>
              <w:rPr>
                <w:rStyle w:val="913"/>
                <w:sz w:val="24"/>
              </w:rPr>
              <w:t xml:space="preserve">3.4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4"/>
              <w:widowControl/>
            </w:pPr>
            <w:r>
              <w:t xml:space="preserve">Дата рассмотрения заявок </w:t>
            </w:r>
            <w:r/>
          </w:p>
        </w:tc>
        <w:tc>
          <w:tcPr>
            <w:shd w:val="clear" w:color="auto" w:fill="auto"/>
            <w:tcW w:w="6061" w:type="dxa"/>
            <w:textDirection w:val="lrTb"/>
            <w:noWrap w:val="false"/>
          </w:tcPr>
          <w:p>
            <w:pPr>
              <w:pStyle w:val="917"/>
              <w:rPr>
                <w:rStyle w:val="913"/>
                <w:b/>
                <w:sz w:val="24"/>
              </w:rPr>
            </w:pPr>
            <w:r>
              <w:rPr>
                <w:b/>
                <w:color w:val="000000"/>
              </w:rPr>
              <w:t xml:space="preserve">10.12.2025</w:t>
            </w:r>
            <w:r>
              <w:rPr>
                <w:rStyle w:val="913"/>
                <w:b/>
                <w:sz w:val="24"/>
              </w:rPr>
              <w:t xml:space="preserve"> в 16</w:t>
            </w:r>
            <w:r>
              <w:rPr>
                <w:rStyle w:val="913"/>
                <w:b/>
                <w:sz w:val="24"/>
              </w:rPr>
              <w:t xml:space="preserve">ч.00 мин. </w:t>
            </w:r>
            <w:r/>
          </w:p>
          <w:p>
            <w:pPr>
              <w:pStyle w:val="917"/>
              <w:rPr>
                <w:rStyle w:val="913"/>
                <w:sz w:val="24"/>
              </w:rPr>
            </w:pPr>
            <w:r>
              <w:rPr>
                <w:rStyle w:val="913"/>
                <w:sz w:val="24"/>
              </w:rPr>
              <w:t xml:space="preserve">(местн. вр. заказчика)</w:t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4"/>
              <w:widowControl/>
              <w:rPr>
                <w:rStyle w:val="913"/>
                <w:sz w:val="24"/>
              </w:rPr>
            </w:pPr>
            <w:r>
              <w:rPr>
                <w:rStyle w:val="913"/>
                <w:sz w:val="24"/>
              </w:rPr>
              <w:t xml:space="preserve">3.5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4"/>
              <w:widowControl/>
            </w:pPr>
            <w:r>
              <w:t xml:space="preserve">Дата проведения аукциона</w:t>
            </w:r>
            <w:r/>
          </w:p>
        </w:tc>
        <w:tc>
          <w:tcPr>
            <w:shd w:val="clear" w:color="auto" w:fill="auto"/>
            <w:tcW w:w="6061" w:type="dxa"/>
            <w:textDirection w:val="lrTb"/>
            <w:noWrap w:val="false"/>
          </w:tcPr>
          <w:p>
            <w:pPr>
              <w:pStyle w:val="917"/>
              <w:rPr>
                <w:rStyle w:val="913"/>
                <w:b/>
                <w:sz w:val="24"/>
              </w:rPr>
            </w:pPr>
            <w:r>
              <w:rPr>
                <w:b/>
                <w:color w:val="000000"/>
              </w:rPr>
              <w:t xml:space="preserve">11.12.2025</w:t>
            </w:r>
            <w:r>
              <w:rPr>
                <w:rStyle w:val="913"/>
                <w:b/>
                <w:sz w:val="24"/>
              </w:rPr>
              <w:t xml:space="preserve"> в 16</w:t>
            </w:r>
            <w:r>
              <w:rPr>
                <w:rStyle w:val="913"/>
                <w:b/>
                <w:sz w:val="24"/>
              </w:rPr>
              <w:t xml:space="preserve">ч.30</w:t>
            </w:r>
            <w:r>
              <w:rPr>
                <w:rStyle w:val="913"/>
                <w:b/>
                <w:sz w:val="24"/>
              </w:rPr>
              <w:t xml:space="preserve"> мин. </w:t>
            </w:r>
            <w:r/>
          </w:p>
          <w:p>
            <w:pPr>
              <w:pStyle w:val="917"/>
              <w:rPr>
                <w:rStyle w:val="913"/>
                <w:sz w:val="24"/>
              </w:rPr>
            </w:pPr>
            <w:r>
              <w:rPr>
                <w:rStyle w:val="913"/>
                <w:sz w:val="24"/>
              </w:rPr>
              <w:t xml:space="preserve">(местн. вр. заказчика)</w:t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4"/>
              <w:widowControl/>
              <w:rPr>
                <w:rStyle w:val="913"/>
                <w:sz w:val="24"/>
              </w:rPr>
            </w:pPr>
            <w:r>
              <w:rPr>
                <w:rStyle w:val="913"/>
                <w:sz w:val="24"/>
              </w:rPr>
              <w:t xml:space="preserve">3.6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4"/>
              <w:widowControl/>
            </w:pPr>
            <w:r>
              <w:t xml:space="preserve">Дата подведения итогов </w:t>
            </w:r>
            <w:r/>
          </w:p>
        </w:tc>
        <w:tc>
          <w:tcPr>
            <w:shd w:val="clear" w:color="auto" w:fill="auto"/>
            <w:tcW w:w="6061" w:type="dxa"/>
            <w:textDirection w:val="lrTb"/>
            <w:noWrap w:val="false"/>
          </w:tcPr>
          <w:p>
            <w:pPr>
              <w:pStyle w:val="917"/>
              <w:rPr>
                <w:rStyle w:val="913"/>
                <w:b/>
                <w:sz w:val="24"/>
              </w:rPr>
            </w:pPr>
            <w:r>
              <w:rPr>
                <w:b/>
                <w:color w:val="000000"/>
              </w:rPr>
              <w:t xml:space="preserve">19.12</w:t>
            </w:r>
            <w:r>
              <w:rPr>
                <w:b/>
                <w:color w:val="000000"/>
              </w:rPr>
              <w:t xml:space="preserve">.2025</w:t>
            </w:r>
            <w:r>
              <w:rPr>
                <w:rStyle w:val="913"/>
                <w:b/>
                <w:sz w:val="24"/>
              </w:rPr>
              <w:t xml:space="preserve"> в 16ч.0</w:t>
            </w:r>
            <w:r>
              <w:rPr>
                <w:rStyle w:val="913"/>
                <w:b/>
                <w:sz w:val="24"/>
              </w:rPr>
              <w:t xml:space="preserve">0 мин. </w:t>
            </w:r>
            <w:r/>
          </w:p>
          <w:p>
            <w:pPr>
              <w:pStyle w:val="917"/>
              <w:rPr>
                <w:rStyle w:val="913"/>
                <w:sz w:val="24"/>
              </w:rPr>
            </w:pPr>
            <w:r>
              <w:rPr>
                <w:rStyle w:val="913"/>
                <w:sz w:val="24"/>
              </w:rPr>
              <w:t xml:space="preserve">(местн. вр. заказчика)</w:t>
            </w:r>
            <w:r/>
          </w:p>
          <w:p>
            <w:pPr>
              <w:pStyle w:val="914"/>
              <w:widowControl/>
            </w:pPr>
            <w:r/>
            <w:r/>
          </w:p>
        </w:tc>
      </w:tr>
      <w:tr>
        <w:trPr/>
        <w:tc>
          <w:tcPr>
            <w:gridSpan w:val="3"/>
            <w:tcW w:w="10665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4. Требования к содержанию, форме, оформлению и составу заявки на участие в аукционе</w:t>
            </w:r>
            <w:r/>
          </w:p>
        </w:tc>
      </w:tr>
      <w:tr>
        <w:trPr/>
        <w:tc>
          <w:tcPr>
            <w:gridSpan w:val="3"/>
            <w:tcW w:w="1066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Претендент вправе подать только одну заявку в отношении предмета аукциона.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Претендент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аукциона вправе отозвать заявку на участие в аукционе не позднее окончания срока подачи заявок в соответствии с Инструкцией пользователя.</w:t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4"/>
              <w:widowControl/>
              <w:rPr>
                <w:rStyle w:val="913"/>
                <w:sz w:val="24"/>
              </w:rPr>
            </w:pPr>
            <w:r>
              <w:rPr>
                <w:rStyle w:val="913"/>
                <w:sz w:val="24"/>
              </w:rPr>
              <w:t xml:space="preserve">4.1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Форма заявки</w:t>
            </w:r>
            <w:r/>
          </w:p>
        </w:tc>
        <w:tc>
          <w:tcPr>
            <w:tcW w:w="6061" w:type="dxa"/>
            <w:textDirection w:val="lrTb"/>
            <w:noWrap w:val="false"/>
          </w:tcPr>
          <w:p>
            <w:pPr>
              <w:pStyle w:val="914"/>
              <w:widowControl/>
              <w:rPr>
                <w:lang w:eastAsia="ru-RU"/>
              </w:rPr>
            </w:pPr>
            <w:r>
              <w:rPr>
                <w:lang w:eastAsia="ru-RU"/>
              </w:rPr>
              <w:t xml:space="preserve">В соответствии с Приложением №1 к настоящему Извещению</w:t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4"/>
              <w:widowControl/>
              <w:rPr>
                <w:rStyle w:val="913"/>
                <w:sz w:val="24"/>
              </w:rPr>
            </w:pPr>
            <w:r>
              <w:rPr>
                <w:rStyle w:val="913"/>
                <w:sz w:val="24"/>
              </w:rPr>
              <w:t xml:space="preserve">4.2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lang w:eastAsia="ru-RU"/>
              </w:rPr>
              <w:t xml:space="preserve">Срок действия заявки</w:t>
            </w:r>
            <w:r/>
          </w:p>
        </w:tc>
        <w:tc>
          <w:tcPr>
            <w:tcW w:w="6061" w:type="dxa"/>
            <w:textDirection w:val="lrTb"/>
            <w:noWrap w:val="false"/>
          </w:tcPr>
          <w:p>
            <w:pPr>
              <w:pStyle w:val="914"/>
              <w:widowControl/>
            </w:pPr>
            <w:r>
              <w:t xml:space="preserve">не менее 90 календарных дней со дня, следующего за днем проведения аукциона.</w:t>
            </w:r>
            <w:r/>
          </w:p>
          <w:p>
            <w:pPr>
              <w:pStyle w:val="914"/>
              <w:widowControl/>
              <w:rPr>
                <w:lang w:eastAsia="ru-RU"/>
              </w:rPr>
            </w:pPr>
            <w:r>
              <w:t xml:space="preserve">Претендент вправе добровольно увеличить срок действия заявки, указав информацию об этом в заявке</w:t>
            </w:r>
            <w:r/>
          </w:p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Претендент не вправе устанавливать срок действия заявки менее 90 календарных дней </w:t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4"/>
              <w:widowControl/>
              <w:rPr>
                <w:rStyle w:val="913"/>
                <w:sz w:val="24"/>
              </w:rPr>
            </w:pPr>
            <w:r>
              <w:rPr>
                <w:rStyle w:val="913"/>
                <w:sz w:val="24"/>
              </w:rPr>
              <w:t xml:space="preserve">4.3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4"/>
              <w:widowControl/>
            </w:pPr>
            <w:r>
              <w:t xml:space="preserve">Состав заявки</w:t>
            </w:r>
            <w:r/>
          </w:p>
        </w:tc>
        <w:tc>
          <w:tcPr>
            <w:tcW w:w="6061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Заявка на участие в аукционе (Приложение №1 к настоящему извещению)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Документы </w:t>
            </w:r>
            <w:r/>
          </w:p>
          <w:p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2.1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ля юридического лица: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Устав; 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Свидетельство о регистрации юридического лица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</w:t>
            </w:r>
            <w:r/>
          </w:p>
          <w:p>
            <w:pPr>
              <w:pStyle w:val="921"/>
              <w:ind w:firstLine="567"/>
              <w:jc w:val="both"/>
            </w:pPr>
            <w:r>
              <w:t xml:space="preserve">- сканированную копию документа, подтверждающего полномочия руководителя;</w:t>
            </w:r>
            <w:r/>
          </w:p>
          <w:p>
            <w:pPr>
              <w:pStyle w:val="921"/>
              <w:ind w:firstLine="567"/>
              <w:jc w:val="both"/>
            </w:pPr>
            <w:r>
              <w:t xml:space="preserve">- доверенность или иной документ, подтверждающий полномочия лица, действовать от имени заявителя (в случае подачи заявки уполномоченным лицом); </w:t>
            </w:r>
            <w:r/>
          </w:p>
          <w:p>
            <w:pPr>
              <w:ind w:firstLine="601"/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информацию о цепочке собственников, включая бенефициаров (в том числе конечных), с подтверждением соответствующими документами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2.2 для индивидуального предпринимателя: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свидетельство о регистрации в качестве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индивидуального предпринимателя;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сканированные копии документов, удостоверяющих личность;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(Приложение №3 к настоящему Извещению).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2.3 для физического лица: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сканированные копии документов, удостоверяющих личность;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копия ИНН;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 (Приложение №3 к настоящему Извещению).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опию платежного документа, подтверждающего внесение задатка на расчетный счет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организатора.</w:t>
            </w:r>
            <w:r/>
          </w:p>
          <w:p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ВСЕ ДОКУМЕНТЫ АРХИВИРУЮТСЯ В ОДИН ФАЙЛ И ПРИКЛАДЫВАЮТСЯ В СОСТАВЕ ЗАЯВКИ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4"/>
              <w:widowControl/>
              <w:rPr>
                <w:rStyle w:val="913"/>
                <w:sz w:val="24"/>
              </w:rPr>
            </w:pPr>
            <w:r>
              <w:rPr>
                <w:rStyle w:val="913"/>
                <w:sz w:val="24"/>
              </w:rPr>
              <w:t xml:space="preserve">4.4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4"/>
              <w:widowControl/>
            </w:pPr>
            <w:r>
              <w:t xml:space="preserve">Внесение задатка</w:t>
            </w:r>
            <w:r/>
          </w:p>
        </w:tc>
        <w:tc>
          <w:tcPr>
            <w:tcW w:w="6061" w:type="dxa"/>
            <w:textDirection w:val="lrTb"/>
            <w:noWrap w:val="false"/>
          </w:tcPr>
          <w:p>
            <w:pPr>
              <w:pStyle w:val="920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момент вскрытия заявок на участие в аукционе денежные средства, внесенные в качестве задатка,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должны поступить на счёт ПАО «Газпром газораспределение Уфа», в противном случае задаток считается не внесенным, и заявка Претендента рассмотрению не подлежит.</w:t>
            </w:r>
            <w:r/>
          </w:p>
          <w:p>
            <w:pPr>
              <w:pStyle w:val="920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  <w:p>
            <w:pPr>
              <w:pStyle w:val="920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Реквизиты для перечисления задатка: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 0278030985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КПП 027601001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р/с 40702810409240000002 в Нижегородском филиале АБ «РОССИЯ»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к/с 30101810300000000876 в Волго-Вятском ГУ Банка России 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БИК 042202876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Получатель: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ПАО «Газпром газораспределение Уфа».</w:t>
            </w:r>
            <w:r/>
          </w:p>
          <w:p>
            <w:pPr>
              <w:pStyle w:val="920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наименовании платежа указывается: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задатка для участия в аукционе №______________ по реализации транспортного средства «____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 xml:space="preserve">предмет___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».</w:t>
            </w:r>
            <w:r/>
          </w:p>
          <w:p>
            <w:pPr>
              <w:pStyle w:val="920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предмете указывается наименование транспортного средства с указанием государственного регистрационного знака.</w:t>
            </w:r>
            <w:r/>
          </w:p>
          <w:p>
            <w:pPr>
              <w:pStyle w:val="920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Если Участник аукциона признан победителем, указанная денежная сумма засчитывается в счет причитающихся с участника процедуры по договору платежей.</w:t>
            </w:r>
            <w:r/>
          </w:p>
          <w:p>
            <w:pPr>
              <w:pStyle w:val="943"/>
              <w:jc w:val="both"/>
              <w:spacing w:before="0" w:beforeAutospacing="0" w:after="160" w:afterAutospacing="0"/>
            </w:pPr>
            <w:r>
              <w:t xml:space="preserve">Если Участник аукциона не признан победителем, денежные средства будут возв</w:t>
            </w:r>
            <w:r>
              <w:t xml:space="preserve">ращены на основании з</w:t>
            </w:r>
            <w:r>
              <w:t xml:space="preserve">аявления Участника. Форма заявления изложена в Приложении №4. </w:t>
            </w:r>
            <w:r>
              <w:rPr>
                <w:color w:val="000000"/>
              </w:rPr>
              <w:t xml:space="preserve">К </w:t>
            </w:r>
            <w:r>
              <w:rPr>
                <w:color w:val="000000"/>
              </w:rPr>
              <w:t xml:space="preserve">заявлению</w:t>
            </w:r>
            <w:r>
              <w:rPr>
                <w:color w:val="000000"/>
              </w:rPr>
              <w:t xml:space="preserve"> в обязательном порядке прикладываются реквизиты для перевода с печатью банка (</w:t>
            </w:r>
            <w:r>
              <w:rPr>
                <w:color w:val="000000"/>
              </w:rPr>
              <w:t xml:space="preserve">принимаются также выписки с реквизитами банка, сформированные в мобильном приложении банка, при наличии оттиска печати</w:t>
            </w:r>
            <w:r>
              <w:rPr>
                <w:color w:val="000000"/>
              </w:rPr>
              <w:t xml:space="preserve">).</w:t>
            </w:r>
            <w:r/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Заявление направляется по адресу электронной почты: </w:t>
            </w:r>
            <w:r>
              <w:rPr>
                <w:rStyle w:val="915"/>
                <w:rFonts w:ascii="Times New Roman" w:hAnsi="Times New Roman"/>
                <w:sz w:val="24"/>
                <w:szCs w:val="24"/>
                <w:lang w:val="en-US"/>
              </w:rPr>
            </w:r>
            <w:hyperlink r:id="rId12" w:tooltip="mailto:ishmiyarova.yu@bashgaz.ru," w:history="1">
              <w:r>
                <w:rPr>
                  <w:rStyle w:val="915"/>
                  <w:rFonts w:ascii="Times New Roman" w:hAnsi="Times New Roman"/>
                  <w:sz w:val="24"/>
                  <w:szCs w:val="24"/>
                  <w:lang w:val="en-US"/>
                </w:rPr>
                <w:t xml:space="preserve">ishmiyarova.yu@bashgaz.ru,</w:t>
              </w:r>
            </w:hyperlink>
            <w:r>
              <w:rPr>
                <w:rStyle w:val="915"/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hyperlink r:id="rId13" w:tooltip="Click to mail amantaeva.rm@bashgaz.ru" w:history="1">
              <w:r>
                <w:rPr>
                  <w:rStyle w:val="915"/>
                  <w:rFonts w:ascii="Times New Roman" w:hAnsi="Times New Roman" w:eastAsia="Times New Roman" w:cs="Times New Roman"/>
                  <w:color w:val="0000ee"/>
                  <w:sz w:val="24"/>
                  <w:u w:val="single"/>
                </w:rPr>
                <w:t xml:space="preserve">amantaeva.rm@bashgaz.ru</w:t>
              </w:r>
            </w:hyperlink>
            <w:r>
              <w:rPr>
                <w:rStyle w:val="915"/>
                <w:rFonts w:ascii="Times New Roman" w:hAnsi="Times New Roman"/>
                <w:sz w:val="24"/>
                <w:szCs w:val="24"/>
                <w:lang w:val="en-US"/>
              </w:rPr>
            </w:r>
            <w:r/>
          </w:p>
          <w:p>
            <w:pPr>
              <w:pStyle w:val="920"/>
              <w:ind w:left="0"/>
              <w:jc w:val="both"/>
              <w:tabs>
                <w:tab w:val="left" w:pos="1134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Задаток на стадии внесения его в качестве обеспечения участия в торгах налогом на добавленную стоимость не облагается.</w:t>
            </w:r>
            <w:r/>
          </w:p>
          <w:p>
            <w:pPr>
              <w:pStyle w:val="920"/>
              <w:ind w:left="0"/>
              <w:jc w:val="both"/>
              <w:tabs>
                <w:tab w:val="left" w:pos="1134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случае уклонения (отказа) Победителя торгов от подписания и заключения договора в указанный срок, сумма задатка не возвращается.</w:t>
            </w:r>
            <w:r/>
          </w:p>
        </w:tc>
      </w:tr>
      <w:tr>
        <w:trPr/>
        <w:tc>
          <w:tcPr>
            <w:gridSpan w:val="3"/>
            <w:tcW w:w="1066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5. Разъяснения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о правилах проведения процедуры/технических характеристиках имущества/получения разрешения на осмотр имущества.</w:t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4"/>
              <w:widowControl/>
              <w:rPr>
                <w:rStyle w:val="913"/>
                <w:sz w:val="24"/>
              </w:rPr>
            </w:pPr>
            <w:r>
              <w:rPr>
                <w:rStyle w:val="913"/>
                <w:sz w:val="24"/>
              </w:rPr>
              <w:t xml:space="preserve">5.1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Дата начала срока предоставления разъяснений </w:t>
            </w:r>
            <w:r/>
          </w:p>
        </w:tc>
        <w:tc>
          <w:tcPr>
            <w:shd w:val="clear" w:color="auto" w:fill="auto"/>
            <w:tcW w:w="6061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 </w:t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4"/>
              <w:widowControl/>
              <w:rPr>
                <w:rStyle w:val="913"/>
                <w:sz w:val="24"/>
              </w:rPr>
            </w:pPr>
            <w:r>
              <w:rPr>
                <w:rStyle w:val="913"/>
                <w:sz w:val="24"/>
              </w:rPr>
              <w:t xml:space="preserve">5.2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направления запроса о разъяснении </w:t>
            </w:r>
            <w:r/>
          </w:p>
        </w:tc>
        <w:tc>
          <w:tcPr>
            <w:tcW w:w="6061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ходе проведения процедуры Претенденты могут направить через функционал сайта запросы на разъяснения, касающиеся правил проведения процедуры, технических характеристик имущества, получения разрешения на осмотр имущества.</w:t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4"/>
              <w:widowControl/>
              <w:rPr>
                <w:rStyle w:val="913"/>
                <w:sz w:val="24"/>
              </w:rPr>
            </w:pPr>
            <w:r>
              <w:rPr>
                <w:rStyle w:val="913"/>
                <w:sz w:val="24"/>
              </w:rPr>
              <w:t xml:space="preserve">5.3</w:t>
            </w:r>
            <w:r/>
          </w:p>
        </w:tc>
        <w:tc>
          <w:tcPr>
            <w:shd w:val="clear" w:color="auto" w:fill="auto"/>
            <w:tcW w:w="3740" w:type="dxa"/>
            <w:textDirection w:val="lrTb"/>
            <w:noWrap w:val="false"/>
          </w:tcPr>
          <w:p>
            <w:pPr>
              <w:pStyle w:val="91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Осмотр имущества</w:t>
            </w:r>
            <w:r/>
          </w:p>
        </w:tc>
        <w:tc>
          <w:tcPr>
            <w:shd w:val="clear" w:color="auto" w:fill="auto"/>
            <w:tcW w:w="606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может быть осуществлен при условии: 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направления запроса Претендентом на проведение осмотра (Приложение №2 к настоящему Извещению); 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предоставления лицами, присутствующими при осмотре сведений о наименовании организации, Ф.И.О. представителя организации/физического лица, ИНН. </w:t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4"/>
              <w:widowControl/>
              <w:rPr>
                <w:rStyle w:val="913"/>
                <w:sz w:val="24"/>
              </w:rPr>
            </w:pPr>
            <w:r>
              <w:rPr>
                <w:rStyle w:val="913"/>
                <w:sz w:val="24"/>
              </w:rPr>
              <w:t xml:space="preserve">5.4</w:t>
            </w:r>
            <w:r/>
          </w:p>
        </w:tc>
        <w:tc>
          <w:tcPr>
            <w:shd w:val="clear" w:color="auto" w:fill="auto"/>
            <w:tcW w:w="3740" w:type="dxa"/>
            <w:textDirection w:val="lrTb"/>
            <w:noWrap w:val="false"/>
          </w:tcPr>
          <w:p>
            <w:pPr>
              <w:pStyle w:val="91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осмотра имущества</w:t>
            </w:r>
            <w:r/>
          </w:p>
        </w:tc>
        <w:tc>
          <w:tcPr>
            <w:shd w:val="clear" w:color="auto" w:fill="auto"/>
            <w:tcW w:w="606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обеспечивает Организатор без взимания платы.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такого осмотра осуществляется на основании Заявления об ознакомлении с имуществом, подготовленным согласно Приложению №2 к настоящему Извещению.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Заявление направляется на электронный адрес контактного лица Организатора, указанный в п. 1.7 Извещения.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течение одного рабочего дня после поступления Заявления Организатор обеспечивает возможность для осмотра предмета аукциона, дата и время согласовывается с контактным лицом Организатора.</w:t>
            </w:r>
            <w:r/>
          </w:p>
        </w:tc>
      </w:tr>
      <w:tr>
        <w:trPr/>
        <w:tc>
          <w:tcPr>
            <w:gridSpan w:val="3"/>
            <w:tcW w:w="10665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Рассмотрение заявок</w:t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4"/>
              <w:widowControl/>
              <w:rPr>
                <w:rStyle w:val="913"/>
                <w:sz w:val="24"/>
              </w:rPr>
            </w:pPr>
            <w:r>
              <w:rPr>
                <w:rStyle w:val="913"/>
                <w:sz w:val="24"/>
              </w:rPr>
              <w:t xml:space="preserve">6.1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Основания для отказа в допуске к участию в аукционе</w:t>
            </w:r>
            <w:r/>
          </w:p>
          <w:p>
            <w:pPr>
              <w:pStyle w:val="91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1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1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1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1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</w:tc>
        <w:tc>
          <w:tcPr>
            <w:tcW w:w="6061" w:type="dxa"/>
            <w:textDirection w:val="lrTb"/>
            <w:noWrap w:val="false"/>
          </w:tcPr>
          <w:p>
            <w:pPr>
              <w:pStyle w:val="921"/>
              <w:jc w:val="both"/>
            </w:pPr>
            <w:r>
              <w:t xml:space="preserve">Претендент не допускается к участию в аукционе в следующих случаях: </w:t>
            </w:r>
            <w:r/>
          </w:p>
          <w:p>
            <w:pPr>
              <w:pStyle w:val="921"/>
              <w:jc w:val="both"/>
            </w:pPr>
            <w:r>
              <w:t xml:space="preserve">- заявка подана лицом, не уполномоченным Претендентом на осуществление таких действий; </w:t>
            </w:r>
            <w:r/>
          </w:p>
          <w:p>
            <w:pPr>
              <w:pStyle w:val="921"/>
              <w:jc w:val="both"/>
            </w:pPr>
            <w:r>
              <w:t xml:space="preserve">- представлены не все документы по перечню, указанному в Извещении;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участником представлены недостоверные сведения.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gridSpan w:val="3"/>
            <w:tcW w:w="10665" w:type="dxa"/>
            <w:textDirection w:val="lrTb"/>
            <w:noWrap w:val="false"/>
          </w:tcPr>
          <w:p>
            <w:pPr>
              <w:jc w:val="both"/>
              <w:spacing w:before="120"/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7. Проведение аукциона</w:t>
            </w:r>
            <w:r/>
          </w:p>
        </w:tc>
      </w:tr>
      <w:tr>
        <w:trPr>
          <w:trHeight w:val="6988"/>
        </w:trPr>
        <w:tc>
          <w:tcPr>
            <w:gridSpan w:val="2"/>
            <w:tcW w:w="4604" w:type="dxa"/>
            <w:textDirection w:val="lrTb"/>
            <w:noWrap w:val="false"/>
          </w:tcPr>
          <w:p>
            <w:pPr>
              <w:pStyle w:val="914"/>
              <w:widowControl/>
            </w:pPr>
            <w:r>
              <w:rPr>
                <w:rStyle w:val="913"/>
                <w:sz w:val="24"/>
              </w:rPr>
              <w:t xml:space="preserve">7.1 </w:t>
            </w:r>
            <w:r>
              <w:rPr>
                <w:rFonts w:eastAsia="Calibri"/>
                <w:bCs/>
                <w:lang w:eastAsia="ru-RU"/>
              </w:rPr>
              <w:t xml:space="preserve">Порядок и правила участия в аукционе</w:t>
            </w:r>
            <w:r/>
          </w:p>
        </w:tc>
        <w:tc>
          <w:tcPr>
            <w:tcW w:w="606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Претендент, допущенный к участию в аукционе, приобретает статус Участника с момента допуска к участию в аукционе посредством функционала сайта.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Аукцион проводится на сайте Организатора. Порядок участия в аукционе изложен в Инструкции пользователя.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Аукцион проводится в назначенные дату и время проведения, указанную в извещени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при условии, что по итогам рассмотрения заявок к участию в аукционе были допущены не менее двух Участников аукциона. Начало и окончание проведения аукциона, а также время поступления ценовых предложений определяется по времени сервера сайта Организатора.</w:t>
            </w:r>
            <w:r/>
          </w:p>
          <w:p>
            <w:pPr>
              <w:pStyle w:val="921"/>
              <w:ind w:firstLine="567"/>
              <w:jc w:val="both"/>
            </w:pPr>
            <w:r>
              <w:t xml:space="preserve">Участник аукциона не вправе подавать предложение о цене договора, равное предложению или меньшее, чем предложение о цене договора, которое было подано им ранее. </w:t>
            </w:r>
            <w:r/>
          </w:p>
          <w:p>
            <w:pPr>
              <w:pStyle w:val="921"/>
              <w:ind w:firstLine="567"/>
              <w:jc w:val="both"/>
            </w:pPr>
            <w:r>
              <w:t xml:space="preserve">В случае если участник подал предложение о цене договора, равное цене, предложенной другим участником, лучшим признается предложение о цене договора, поступившее ранее других предложений. </w:t>
            </w:r>
            <w:r/>
          </w:p>
          <w:p>
            <w:pPr>
              <w:pStyle w:val="921"/>
              <w:ind w:firstLine="567"/>
              <w:jc w:val="both"/>
            </w:pPr>
            <w:r>
              <w:t xml:space="preserve">В случае если с момента приема последнего предложения или с момента начала аукциона в течение времени ожидания поступления ценовых предложений, указанного в Инструкции пользователя, не было подано ни одного предложения, аукцион автоматически завершается. </w:t>
            </w:r>
            <w:r/>
          </w:p>
        </w:tc>
      </w:tr>
      <w:tr>
        <w:trPr>
          <w:trHeight w:val="554"/>
        </w:trPr>
        <w:tc>
          <w:tcPr>
            <w:gridSpan w:val="2"/>
            <w:tcW w:w="4604" w:type="dxa"/>
            <w:textDirection w:val="lrTb"/>
            <w:noWrap w:val="false"/>
          </w:tcPr>
          <w:p>
            <w:pPr>
              <w:pStyle w:val="914"/>
              <w:widowControl/>
              <w:rPr>
                <w:rStyle w:val="913"/>
                <w:sz w:val="24"/>
              </w:rPr>
            </w:pPr>
            <w:r>
              <w:rPr>
                <w:rStyle w:val="913"/>
                <w:sz w:val="24"/>
              </w:rPr>
              <w:t xml:space="preserve">7.2 Шаг аукциона</w:t>
            </w:r>
            <w:r/>
          </w:p>
        </w:tc>
        <w:tc>
          <w:tcPr>
            <w:tcW w:w="606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0,5% до 5% от начальной (минимальной) цены</w:t>
            </w:r>
            <w:r/>
          </w:p>
        </w:tc>
      </w:tr>
      <w:tr>
        <w:trPr/>
        <w:tc>
          <w:tcPr>
            <w:gridSpan w:val="3"/>
            <w:tcW w:w="10665" w:type="dxa"/>
            <w:textDirection w:val="lrTb"/>
            <w:noWrap w:val="false"/>
          </w:tcPr>
          <w:p>
            <w:pPr>
              <w:jc w:val="both"/>
              <w:spacing w:before="120"/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 Подведение итогов аукциона</w:t>
            </w:r>
            <w:r/>
          </w:p>
        </w:tc>
      </w:tr>
      <w:tr>
        <w:trPr/>
        <w:tc>
          <w:tcPr>
            <w:gridSpan w:val="3"/>
            <w:tcW w:w="10665" w:type="dxa"/>
            <w:textDirection w:val="lrTb"/>
            <w:noWrap w:val="false"/>
          </w:tcPr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Участник, который предложил наиболее высокую цену договора, и заявка которого соответствует требованиям извещения об аукционе, признается победителем.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о признании Участника победителем аукциона оформляется протоколом подведения итогов.</w:t>
            </w:r>
            <w:r/>
          </w:p>
        </w:tc>
      </w:tr>
      <w:tr>
        <w:trPr/>
        <w:tc>
          <w:tcPr>
            <w:gridSpan w:val="3"/>
            <w:tcW w:w="10665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9. Заключение договора</w:t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913"/>
                <w:rFonts w:cs="Times New Roman"/>
                <w:sz w:val="24"/>
                <w:szCs w:val="24"/>
              </w:rPr>
              <w:t xml:space="preserve">9.1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договора</w:t>
            </w:r>
            <w:r/>
          </w:p>
        </w:tc>
        <w:tc>
          <w:tcPr>
            <w:tcW w:w="6061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цена, предложенная Победителем в ходе аукциона, 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единственного участника аукциона</w:t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4"/>
              <w:widowControl/>
              <w:rPr>
                <w:rStyle w:val="913"/>
                <w:sz w:val="24"/>
              </w:rPr>
            </w:pPr>
            <w:r>
              <w:rPr>
                <w:rStyle w:val="913"/>
                <w:sz w:val="24"/>
              </w:rPr>
              <w:t xml:space="preserve">9.2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4"/>
              <w:widowControl/>
            </w:pPr>
            <w:r>
              <w:t xml:space="preserve">Срок заключения договора</w:t>
            </w:r>
            <w:r/>
          </w:p>
        </w:tc>
        <w:tc>
          <w:tcPr>
            <w:tcW w:w="6061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20 дней с даты оформления Протокола подведения итогов аукциона</w:t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4"/>
              <w:widowControl/>
              <w:rPr>
                <w:rStyle w:val="913"/>
                <w:sz w:val="24"/>
              </w:rPr>
            </w:pPr>
            <w:r>
              <w:rPr>
                <w:rStyle w:val="913"/>
                <w:sz w:val="24"/>
              </w:rPr>
              <w:t xml:space="preserve">9.3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4"/>
              <w:widowControl/>
            </w:pPr>
            <w:r>
              <w:t xml:space="preserve">Оплата имущества Победителем</w:t>
            </w:r>
            <w:r/>
          </w:p>
        </w:tc>
        <w:tc>
          <w:tcPr>
            <w:tcW w:w="6061" w:type="dxa"/>
            <w:textDirection w:val="lrTb"/>
            <w:noWrap w:val="false"/>
          </w:tcPr>
          <w:p>
            <w:pPr>
              <w:pStyle w:val="921"/>
              <w:jc w:val="both"/>
            </w:pPr>
            <w:r>
              <w:t xml:space="preserve">оплата имущества Победителем торгов осуществляется в порядке и сроки, установленные договором на условиях 100% предварительной оплаты до передачи имущества. </w:t>
            </w:r>
            <w:r/>
          </w:p>
        </w:tc>
      </w:tr>
      <w:tr>
        <w:trPr/>
        <w:tc>
          <w:tcPr>
            <w:gridSpan w:val="3"/>
            <w:tcW w:w="10665" w:type="dxa"/>
            <w:textDirection w:val="lrTb"/>
            <w:noWrap w:val="false"/>
          </w:tcPr>
          <w:p>
            <w:pPr>
              <w:pStyle w:val="921"/>
              <w:ind w:firstLine="567"/>
              <w:jc w:val="both"/>
            </w:pPr>
            <w:r>
              <w:t xml:space="preserve">В случае уклонения (отказа) Победителя торгов от подписания и заключения в указанный срок договора, он утрачивает право на заключение вышеуказанного договора</w:t>
            </w:r>
            <w:r>
              <w:t xml:space="preserve">, внесенный задаток возврату не подлежит</w:t>
            </w:r>
            <w:r>
              <w:t xml:space="preserve">. 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Переход прав на реализованное Имущество осуществляется в соответствии с договором купли-продажи, заключаемого по форме, установленной собственником имущества.</w:t>
            </w:r>
            <w:r/>
          </w:p>
        </w:tc>
      </w:tr>
    </w:tbl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Приложение 1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Форма заявки на участие в аукционе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insideH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  <w:trHeight w:val="1074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Генеральному директору ООО «Газпром межрегионгаз Уфа»-управляющей организации ПАО «Газпром газораспределение Уфа»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Лукманову А.Р.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от______________________________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________________________________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ЗАЯВКА НА УЧАСТИЕ В АУКЦИОНЕ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before="19" w:after="0" w:line="240" w:lineRule="auto"/>
        <w:tabs>
          <w:tab w:val="left" w:pos="503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Изучив Извещение о проведении аукциона, опубликованное на официальном сайте в сети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Интернет </w:t>
      </w:r>
      <w:r>
        <w:rPr>
          <w:rFonts w:ascii="Times New Roman" w:hAnsi="Times New Roman" w:eastAsia="Times New Roman" w:cs="Times New Roman"/>
          <w:i/>
          <w:iCs/>
          <w:color w:val="0000ff"/>
          <w:sz w:val="24"/>
          <w:szCs w:val="24"/>
          <w:u w:val="single"/>
          <w:lang w:eastAsia="ru-RU"/>
        </w:rPr>
        <w:t xml:space="preserve">https://www.bashgaz.ru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и принимая установленные в нем требования и условия, в том числе все условия проекта Договора, включенного в Извещение о проведении аукциона, 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_______________________________________________________________________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(полное наименование, ИНН (для юридического лица)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ФИО (для физического лица/ИП) 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адрес места нахождения Участника)</w:t>
      </w:r>
      <w:r/>
    </w:p>
    <w:p>
      <w:pPr>
        <w:jc w:val="both"/>
        <w:spacing w:before="19"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предлагает заключить Договор на условиях и в соответствии с настоящей Заявкой на участие в аукционе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: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3681"/>
        <w:gridCol w:w="5664"/>
      </w:tblGrid>
      <w:tr>
        <w:trPr>
          <w:tblCellSpacing w:w="0" w:type="dxa"/>
          <w:trHeight w:val="7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1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Предмет аукциона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footnoteReference w:id="2"/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t xml:space="preserve"> 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4" w:type="dxa"/>
            <w:vAlign w:val="center"/>
            <w:textDirection w:val="lrTb"/>
            <w:noWrap w:val="false"/>
          </w:tcPr>
          <w:p>
            <w:pPr>
              <w:jc w:val="both"/>
              <w:spacing w:before="19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footnoteReference w:id="3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vertAlign w:val="superscript"/>
                <w:lang w:eastAsia="ru-RU"/>
              </w:rPr>
              <w:t xml:space="preserve">для юридического лица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р/с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Кор/счет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БИК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Юридический адрес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Почтовый адрес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для физического лица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ФИО (полностью)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серия, номер, код подразделения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Выдан (когда кем)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регистрации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места жительства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для индивидуального предпринимателя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ФИО (полностью)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серия, номер, код подразделения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Выдан (когда кем)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регистрации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Номер лицевого счета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Номер расчетного счета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Подавая заявку на участие в данном аукционе обязуюсь с</w:t>
      </w:r>
      <w:r>
        <w:rPr>
          <w:rFonts w:ascii="Times New Roman" w:hAnsi="Times New Roman" w:cs="Times New Roman"/>
          <w:sz w:val="24"/>
          <w:szCs w:val="24"/>
        </w:rPr>
        <w:t xml:space="preserve">облюдать условия и порядок проведения аукциона, содержащиеся в Извещени</w:t>
      </w:r>
      <w:r>
        <w:rPr>
          <w:rFonts w:ascii="Times New Roman" w:hAnsi="Times New Roman" w:cs="Times New Roman"/>
          <w:sz w:val="24"/>
          <w:szCs w:val="24"/>
        </w:rPr>
        <w:t xml:space="preserve">и, Порядке проведения процедуры аукциона на реализацию имущества ПАО «Газпром газораспределение Уфа», Инструкции пользователя модуля «Реализация имущества» на сайте ООО «Газпром межрегионгаз Уфа» и ПАО «Газпром газораспределение Уфа». В случае признания ме</w:t>
      </w:r>
      <w:r>
        <w:rPr>
          <w:rFonts w:ascii="Times New Roman" w:hAnsi="Times New Roman" w:cs="Times New Roman"/>
          <w:sz w:val="24"/>
          <w:szCs w:val="24"/>
        </w:rPr>
        <w:t xml:space="preserve">ня Победителем аукциона, либо принятия Организатором решения о заключении договора с единственным участником торгов, заключить договор купли-продажи с Организатором в соответствии с порядком, сроками и требованиями, установленными в договоре купли-продажи.</w:t>
      </w:r>
      <w:r/>
    </w:p>
    <w:p>
      <w:pPr>
        <w:ind w:firstLine="708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Мне понятны все требования и положения Документации, известно фактическое состояние и техниче</w:t>
      </w:r>
      <w:r>
        <w:rPr>
          <w:rFonts w:ascii="Times New Roman" w:hAnsi="Times New Roman" w:cs="Times New Roman"/>
          <w:sz w:val="24"/>
          <w:szCs w:val="24"/>
        </w:rPr>
        <w:t xml:space="preserve">ские характеристики имущества, </w:t>
      </w:r>
      <w:r>
        <w:rPr>
          <w:rFonts w:ascii="Times New Roman" w:hAnsi="Times New Roman" w:cs="Times New Roman"/>
          <w:sz w:val="24"/>
          <w:szCs w:val="24"/>
        </w:rPr>
        <w:t xml:space="preserve">указанные в Документации, претензий к ним не имею. Подавая заявку на участие в аукционе, подтверждаю, что ознакомлен с техническим состоянием Товара и согласен на приобретение Товара в его фактическом состоянии и комплектации.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Подавая заявку на участие в аукционе, подтверждаю, что ознакомлен и согласен с условиями внесения задатка. </w:t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Настоящая Заявка на участие в аукционе имеет правовой статус оферты, со сроком действия</w:t>
      </w:r>
      <w:r>
        <w:rPr>
          <w:rStyle w:val="928"/>
          <w:rFonts w:ascii="Times New Roman" w:hAnsi="Times New Roman" w:eastAsia="Times New Roman"/>
          <w:color w:val="000000"/>
          <w:sz w:val="24"/>
          <w:szCs w:val="24"/>
          <w:lang w:eastAsia="ru-RU"/>
        </w:rPr>
        <w:footnoteReference w:id="4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_______________________.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Приложения к заявке: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1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2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..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Заявитель: __________________________________        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                  (для юридического лица – должность, подпись                                        (ФИО)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 для физического лица, ИП – подпись)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Дата _____________________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Время ____________________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2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заявления об ознакомлении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Style w:val="916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rHeight w:val="1074"/>
        </w:trPr>
        <w:tc>
          <w:tcPr>
            <w:tcW w:w="46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Генеральному директору ООО «Газпром межрегионгаз Уфа»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управляющей организации ПАО «Газпром газораспределение Уфа»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Лукманову А.Р.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от______________________________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ОЗНАКОМЛЕНИИ С ПРЕДМЕТОМ АУКЦИОНА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обеспечить возможность ознакомления с имуществом, являющимся предметом аукциона на реализацию ___________________________________.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(предмет аукциона в соответствии с Извещением)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Заявитель: __________________________________        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(для юридического лица – должность, подпись                                        (ФИО)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для физического лица, ИП – подпись)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_____________________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Время 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3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num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ФИЗИЧЕСКОГО ЛИЦА НА ОБРАБОТКУ СВОИХ ПЕРСОНАЛЬНЫХ ДАННЫХ</w:t>
      </w:r>
      <w:r/>
    </w:p>
    <w:p>
      <w:pPr>
        <w:tabs>
          <w:tab w:val="num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  <w:t xml:space="preserve">Я, __________________________________________________________________________________,</w:t>
      </w:r>
      <w:r/>
    </w:p>
    <w:p>
      <w:pPr>
        <w:contextualSpacing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left" w:pos="6660" w:leader="underscor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проживающий по адресу: ______________________________________________________________,</w:t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left" w:pos="3240" w:leader="none"/>
          <w:tab w:val="left" w:pos="5551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паспорт серии ___________ № ____________, выдан _______________________________________</w:t>
      </w:r>
      <w:r/>
    </w:p>
    <w:p>
      <w:pPr>
        <w:contextualSpacing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</w:t>
      </w:r>
      <w:r/>
    </w:p>
    <w:p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(орган, выдавший паспорт / дата выдачи)</w:t>
      </w:r>
      <w:r/>
    </w:p>
    <w:p>
      <w:pPr>
        <w:ind w:right="-31"/>
        <w:jc w:val="both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с Федеральным законом «О персональных данных» своей волей и в своем интересе выражаю ПАО «Газпром газораспределение Уфа» согласие на обработку и передачу своих персональных данных для последующей передачи в Минэнерго России, Росфинмониторинг и ФНС России.</w:t>
      </w:r>
      <w:r/>
    </w:p>
    <w:p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вступает в силу со дня передачи мною в ПАО «Газпром газораспределение Уфа» моих персональных данных и действует до окончания срока действия Заявки на участие в аукционе.</w:t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</w:t>
            </w:r>
            <w:r/>
          </w:p>
          <w:p>
            <w:pPr>
              <w:jc w:val="center"/>
              <w:tabs>
                <w:tab w:val="left" w:pos="34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(подпись)</w:t>
            </w:r>
            <w:r/>
          </w:p>
        </w:tc>
      </w:tr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</w:t>
            </w:r>
            <w:r/>
          </w:p>
          <w:p>
            <w:pPr>
              <w:jc w:val="center"/>
              <w:tabs>
                <w:tab w:val="left" w:pos="4428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(фамилия, имя, отчество подписавшего)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4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Style w:val="916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rHeight w:val="1074"/>
        </w:trPr>
        <w:tc>
          <w:tcPr>
            <w:tcW w:w="46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ПАО «Газпром газораспределение Уфа»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от______________________________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О ВОЗВРАТЕ ЗАДАТКА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Прошу вернуть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денежную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сумму в размере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руб., внесенную в качестве задатка на участие в аукционе по реализации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транспортного средства 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(аукцион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№____________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по сле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ующим реквизитам:</w:t>
      </w:r>
      <w:r/>
    </w:p>
    <w:tbl>
      <w:tblPr>
        <w:tblStyle w:val="916"/>
        <w:tblW w:w="0" w:type="auto"/>
        <w:tblLook w:val="04A0" w:firstRow="1" w:lastRow="0" w:firstColumn="1" w:lastColumn="0" w:noHBand="0" w:noVBand="1"/>
      </w:tblPr>
      <w:tblGrid>
        <w:gridCol w:w="4248"/>
        <w:gridCol w:w="5097"/>
      </w:tblGrid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Получатель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Счет получателя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банка получателя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Корреспондентский счет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БИК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КПП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ИНН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</w:tbl>
    <w:p>
      <w:pPr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Приложение: реквизиты для перевода с печатью Банка</w:t>
      </w:r>
      <w:r>
        <w:rPr>
          <w:rStyle w:val="928"/>
          <w:rFonts w:ascii="Times New Roman" w:hAnsi="Times New Roman" w:eastAsia="Times New Roman"/>
          <w:sz w:val="28"/>
          <w:szCs w:val="28"/>
          <w:lang w:eastAsia="ru-RU"/>
        </w:rPr>
        <w:footnoteReference w:id="5"/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</w:t>
            </w:r>
            <w:r/>
          </w:p>
          <w:p>
            <w:pPr>
              <w:jc w:val="center"/>
              <w:spacing w:after="0" w:line="240" w:lineRule="auto"/>
              <w:tabs>
                <w:tab w:val="left" w:pos="34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(подпись)</w:t>
            </w:r>
            <w:r/>
          </w:p>
        </w:tc>
      </w:tr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</w:t>
            </w:r>
            <w:r/>
          </w:p>
          <w:p>
            <w:pPr>
              <w:jc w:val="center"/>
              <w:spacing w:after="0" w:line="240" w:lineRule="auto"/>
              <w:tabs>
                <w:tab w:val="left" w:pos="4428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         (фамилия, имя, отчество подписавшего)</w:t>
            </w:r>
            <w:r/>
          </w:p>
        </w:tc>
      </w:tr>
    </w:tbl>
    <w:p>
      <w:pPr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(дата)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pStyle w:val="941"/>
        <w:jc w:val="both"/>
        <w:spacing w:before="0" w:beforeAutospacing="0" w:after="60" w:afterAutospacing="0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 xml:space="preserve">Указывается предмет аукциона в соответствии с Извещением</w:t>
      </w:r>
      <w:r/>
    </w:p>
  </w:footnote>
  <w:footnote w:id="3">
    <w:p>
      <w:pPr>
        <w:pStyle w:val="941"/>
        <w:jc w:val="both"/>
        <w:spacing w:before="0" w:beforeAutospacing="0" w:after="60" w:afterAutospacing="0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 xml:space="preserve">В зависимости от статуса Претендента выбирается один из трех вариантов заполнения реквизитов. Пустые таблицы оставлять в Заявке не нужно</w:t>
      </w:r>
      <w:r/>
    </w:p>
  </w:footnote>
  <w:footnote w:id="4">
    <w:p>
      <w:pPr>
        <w:pStyle w:val="925"/>
      </w:pPr>
      <w:r>
        <w:rPr>
          <w:rStyle w:val="928"/>
        </w:rPr>
        <w:footnoteRef/>
      </w:r>
      <w:r>
        <w:t xml:space="preserve"> Срок действия заявки должен быть не менее 90 календарных дней со дня, следующего за днем проведения аукциона</w:t>
      </w:r>
      <w:r/>
    </w:p>
  </w:footnote>
  <w:footnote w:id="5">
    <w:p>
      <w:pPr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Style w:val="928"/>
        </w:rPr>
        <w:footnoteRef/>
      </w:r>
      <w:r>
        <w:t xml:space="preserve">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К письму в обязательном порядке прикладываются реквизиты для перевода с печатью банка (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принимаются также выписки с реквизитами банка, сформированные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в мобильн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ом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приложении банка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, при наличии оттиска печати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).</w:t>
      </w:r>
      <w:r/>
    </w:p>
    <w:p>
      <w:pPr>
        <w:pStyle w:val="925"/>
      </w:pPr>
      <w:r/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927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64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8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0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4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6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suff w:val="tab"/>
      <w:lvlText w:val="%1.%2."/>
      <w:lvlJc w:val="left"/>
      <w:pPr>
        <w:ind w:left="72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suff w:val="space"/>
      <w:lvlText w:val="%1.%2.%3."/>
      <w:lvlJc w:val="left"/>
      <w:pPr>
        <w:ind w:left="1004" w:hanging="720"/>
      </w:pPr>
      <w:rPr>
        <w:rFonts w:hint="default"/>
        <w:b w:val="0"/>
        <w:i w:val="0"/>
        <w:strike w:val="0"/>
        <w:color w:val="auto"/>
        <w:sz w:val="28"/>
        <w:szCs w:val="28"/>
      </w:rPr>
    </w:lvl>
    <w:lvl w:ilvl="3">
      <w:start w:val="1"/>
      <w:numFmt w:val="decimal"/>
      <w:isLgl/>
      <w:suff w:val="space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pStyle w:val="726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  <w:lvl w:ilvl="1">
      <w:start w:val="1"/>
      <w:numFmt w:val="decimal"/>
      <w:pStyle w:val="727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  <w:lvl w:ilvl="2">
      <w:start w:val="1"/>
      <w:numFmt w:val="decimal"/>
      <w:pStyle w:val="728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  <w:lvl w:ilvl="3">
      <w:start w:val="1"/>
      <w:numFmt w:val="decimal"/>
      <w:pStyle w:val="729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  <w:lvl w:ilvl="4">
      <w:start w:val="1"/>
      <w:numFmt w:val="decimal"/>
      <w:pStyle w:val="730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  <w:lvl w:ilvl="5">
      <w:start w:val="1"/>
      <w:numFmt w:val="decimal"/>
      <w:pStyle w:val="731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</w:abstractNum>
  <w:abstractNum w:abstractNumId="4">
    <w:multiLevelType w:val="hybridMultilevel"/>
    <w:lvl w:ilvl="0">
      <w:start w:val="1"/>
      <w:numFmt w:val="decimal"/>
      <w:pStyle w:val="72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2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2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2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3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3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5">
    <w:multiLevelType w:val="hybridMultilevel"/>
    <w:lvl w:ilvl="0">
      <w:start w:val="1"/>
      <w:numFmt w:val="decimal"/>
      <w:pStyle w:val="726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  <w:lvl w:ilvl="1">
      <w:start w:val="1"/>
      <w:numFmt w:val="decimal"/>
      <w:pStyle w:val="727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  <w:lvl w:ilvl="2">
      <w:start w:val="1"/>
      <w:numFmt w:val="decimal"/>
      <w:pStyle w:val="728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  <w:lvl w:ilvl="3">
      <w:start w:val="1"/>
      <w:numFmt w:val="decimal"/>
      <w:pStyle w:val="729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  <w:lvl w:ilvl="4">
      <w:start w:val="1"/>
      <w:numFmt w:val="decimal"/>
      <w:pStyle w:val="730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  <w:lvl w:ilvl="5">
      <w:start w:val="1"/>
      <w:numFmt w:val="decimal"/>
      <w:pStyle w:val="731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</w:abstractNum>
  <w:abstractNum w:abstractNumId="6">
    <w:multiLevelType w:val="hybridMultilevel"/>
    <w:lvl w:ilvl="0">
      <w:start w:val="1"/>
      <w:numFmt w:val="decimal"/>
      <w:pStyle w:val="726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  <w:lvl w:ilvl="1">
      <w:start w:val="1"/>
      <w:numFmt w:val="decimal"/>
      <w:pStyle w:val="727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  <w:lvl w:ilvl="2">
      <w:start w:val="1"/>
      <w:numFmt w:val="decimal"/>
      <w:pStyle w:val="728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  <w:lvl w:ilvl="3">
      <w:start w:val="1"/>
      <w:numFmt w:val="decimal"/>
      <w:pStyle w:val="729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  <w:lvl w:ilvl="4">
      <w:start w:val="1"/>
      <w:numFmt w:val="decimal"/>
      <w:pStyle w:val="730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  <w:lvl w:ilvl="5">
      <w:start w:val="1"/>
      <w:numFmt w:val="decimal"/>
      <w:pStyle w:val="731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</w:abstractNum>
  <w:abstractNum w:abstractNumId="7">
    <w:multiLevelType w:val="hybridMultilevel"/>
    <w:lvl w:ilvl="0">
      <w:start w:val="1"/>
      <w:numFmt w:val="decimal"/>
      <w:pStyle w:val="726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  <w:lvl w:ilvl="1">
      <w:start w:val="1"/>
      <w:numFmt w:val="decimal"/>
      <w:pStyle w:val="727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  <w:lvl w:ilvl="2">
      <w:start w:val="1"/>
      <w:numFmt w:val="decimal"/>
      <w:pStyle w:val="728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  <w:lvl w:ilvl="3">
      <w:start w:val="1"/>
      <w:numFmt w:val="decimal"/>
      <w:pStyle w:val="729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  <w:lvl w:ilvl="4">
      <w:start w:val="1"/>
      <w:numFmt w:val="decimal"/>
      <w:pStyle w:val="730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  <w:lvl w:ilvl="5">
      <w:start w:val="1"/>
      <w:numFmt w:val="decimal"/>
      <w:pStyle w:val="731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</w:abstractNum>
  <w:abstractNum w:abstractNumId="8">
    <w:multiLevelType w:val="hybridMultilevel"/>
    <w:lvl w:ilvl="0">
      <w:start w:val="1"/>
      <w:numFmt w:val="decimal"/>
      <w:pStyle w:val="726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  <w:lvl w:ilvl="1">
      <w:start w:val="1"/>
      <w:numFmt w:val="decimal"/>
      <w:pStyle w:val="727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  <w:lvl w:ilvl="2">
      <w:start w:val="1"/>
      <w:numFmt w:val="decimal"/>
      <w:pStyle w:val="728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  <w:lvl w:ilvl="3">
      <w:start w:val="1"/>
      <w:numFmt w:val="decimal"/>
      <w:pStyle w:val="729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  <w:lvl w:ilvl="4">
      <w:start w:val="1"/>
      <w:numFmt w:val="decimal"/>
      <w:pStyle w:val="730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  <w:lvl w:ilvl="5">
      <w:start w:val="1"/>
      <w:numFmt w:val="decimal"/>
      <w:pStyle w:val="731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</w:abstractNum>
  <w:abstractNum w:abstractNumId="9">
    <w:multiLevelType w:val="hybridMultilevel"/>
    <w:lvl w:ilvl="0">
      <w:start w:val="1"/>
      <w:numFmt w:val="decimal"/>
      <w:pStyle w:val="726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  <w:lvl w:ilvl="1">
      <w:start w:val="1"/>
      <w:numFmt w:val="decimal"/>
      <w:pStyle w:val="727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  <w:lvl w:ilvl="2">
      <w:start w:val="1"/>
      <w:numFmt w:val="decimal"/>
      <w:pStyle w:val="728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  <w:lvl w:ilvl="3">
      <w:start w:val="1"/>
      <w:numFmt w:val="decimal"/>
      <w:pStyle w:val="729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  <w:lvl w:ilvl="4">
      <w:start w:val="1"/>
      <w:numFmt w:val="decimal"/>
      <w:pStyle w:val="730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  <w:lvl w:ilvl="5">
      <w:start w:val="1"/>
      <w:numFmt w:val="decimal"/>
      <w:pStyle w:val="731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</w:abstractNum>
  <w:abstractNum w:abstractNumId="10">
    <w:multiLevelType w:val="hybridMultilevel"/>
    <w:lvl w:ilvl="0">
      <w:start w:val="1"/>
      <w:numFmt w:val="decimal"/>
      <w:pStyle w:val="72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2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2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2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3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3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1">
    <w:multiLevelType w:val="hybridMultilevel"/>
    <w:lvl w:ilvl="0">
      <w:start w:val="1"/>
      <w:numFmt w:val="decimal"/>
      <w:pStyle w:val="949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  <w:lvl w:ilvl="1">
      <w:start w:val="1"/>
      <w:numFmt w:val="decimal"/>
      <w:pStyle w:val="950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  <w:lvl w:ilvl="2">
      <w:start w:val="1"/>
      <w:numFmt w:val="decimal"/>
      <w:pStyle w:val="945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  <w:lvl w:ilvl="3">
      <w:start w:val="1"/>
      <w:numFmt w:val="decimal"/>
      <w:pStyle w:val="946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  <w:lvl w:ilvl="4">
      <w:start w:val="1"/>
      <w:numFmt w:val="decimal"/>
      <w:pStyle w:val="947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  <w:lvl w:ilvl="5">
      <w:start w:val="1"/>
      <w:numFmt w:val="decimal"/>
      <w:pStyle w:val="948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</w:abstractNum>
  <w:abstractNum w:abstractNumId="12">
    <w:multiLevelType w:val="hybridMultilevel"/>
    <w:lvl w:ilvl="0">
      <w:start w:val="1"/>
      <w:numFmt w:val="decimal"/>
      <w:pStyle w:val="72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2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2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2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3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3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3">
    <w:multiLevelType w:val="hybridMultilevel"/>
    <w:lvl w:ilvl="0">
      <w:start w:val="1"/>
      <w:numFmt w:val="decimal"/>
      <w:pStyle w:val="72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2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2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2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3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3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4">
    <w:multiLevelType w:val="hybridMultilevel"/>
    <w:lvl w:ilvl="0">
      <w:start w:val="1"/>
      <w:numFmt w:val="decimal"/>
      <w:pStyle w:val="72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2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2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2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3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3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5">
    <w:multiLevelType w:val="hybridMultilevel"/>
    <w:lvl w:ilvl="0">
      <w:start w:val="1"/>
      <w:numFmt w:val="decimal"/>
      <w:pStyle w:val="72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2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2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2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3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3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6">
    <w:multiLevelType w:val="hybridMultilevel"/>
    <w:lvl w:ilvl="0">
      <w:start w:val="1"/>
      <w:numFmt w:val="decimal"/>
      <w:pStyle w:val="72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2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2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2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3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3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7">
    <w:multiLevelType w:val="hybridMultilevel"/>
    <w:lvl w:ilvl="0">
      <w:start w:val="1"/>
      <w:numFmt w:val="decimal"/>
      <w:pStyle w:val="72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2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2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2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3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3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8">
    <w:multiLevelType w:val="hybridMultilevel"/>
    <w:lvl w:ilvl="0">
      <w:start w:val="1"/>
      <w:numFmt w:val="decimal"/>
      <w:pStyle w:val="72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2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2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2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3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3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9">
    <w:multiLevelType w:val="hybridMultilevel"/>
    <w:lvl w:ilvl="0">
      <w:start w:val="1"/>
      <w:numFmt w:val="decimal"/>
      <w:pStyle w:val="72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2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2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2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3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3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25" w:default="1">
    <w:name w:val="Normal"/>
    <w:qFormat/>
  </w:style>
  <w:style w:type="paragraph" w:styleId="726">
    <w:name w:val="Heading 1"/>
    <w:basedOn w:val="725"/>
    <w:next w:val="725"/>
    <w:link w:val="75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27">
    <w:name w:val="Heading 2"/>
    <w:basedOn w:val="725"/>
    <w:next w:val="725"/>
    <w:link w:val="75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28">
    <w:name w:val="Heading 3"/>
    <w:basedOn w:val="725"/>
    <w:next w:val="725"/>
    <w:link w:val="935"/>
    <w:qFormat/>
    <w:pPr>
      <w:keepNext/>
      <w:spacing w:after="0" w:line="240" w:lineRule="auto"/>
      <w:outlineLvl w:val="2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729">
    <w:name w:val="Heading 4"/>
    <w:basedOn w:val="725"/>
    <w:next w:val="725"/>
    <w:link w:val="936"/>
    <w:qFormat/>
    <w:pPr>
      <w:jc w:val="right"/>
      <w:keepNext/>
      <w:spacing w:after="0" w:line="240" w:lineRule="auto"/>
      <w:outlineLvl w:val="3"/>
    </w:pPr>
    <w:rPr>
      <w:rFonts w:ascii="Arial" w:hAnsi="Arial" w:eastAsia="Times New Roman" w:cs="Times New Roman"/>
      <w:i/>
      <w:iCs/>
      <w:color w:val="0000ff"/>
      <w:sz w:val="28"/>
      <w:szCs w:val="14"/>
      <w:lang w:eastAsia="ru-RU"/>
    </w:rPr>
  </w:style>
  <w:style w:type="paragraph" w:styleId="730">
    <w:name w:val="Heading 5"/>
    <w:basedOn w:val="725"/>
    <w:next w:val="725"/>
    <w:link w:val="937"/>
    <w:qFormat/>
    <w:pPr>
      <w:jc w:val="both"/>
      <w:keepNext/>
      <w:spacing w:after="0" w:line="240" w:lineRule="auto"/>
      <w:outlineLvl w:val="4"/>
    </w:pPr>
    <w:rPr>
      <w:rFonts w:ascii="Arial" w:hAnsi="Arial" w:eastAsia="Times New Roman" w:cs="Times New Roman"/>
      <w:sz w:val="28"/>
      <w:szCs w:val="14"/>
      <w:lang w:eastAsia="ru-RU"/>
    </w:rPr>
  </w:style>
  <w:style w:type="paragraph" w:styleId="731">
    <w:name w:val="Heading 6"/>
    <w:basedOn w:val="725"/>
    <w:next w:val="725"/>
    <w:link w:val="938"/>
    <w:qFormat/>
    <w:pPr>
      <w:ind w:firstLine="280"/>
      <w:keepNext/>
      <w:spacing w:after="0" w:line="240" w:lineRule="auto"/>
      <w:outlineLvl w:val="5"/>
    </w:pPr>
    <w:rPr>
      <w:rFonts w:ascii="Arial" w:hAnsi="Arial" w:eastAsia="Times New Roman" w:cs="Times New Roman"/>
      <w:sz w:val="28"/>
      <w:szCs w:val="14"/>
      <w:lang w:eastAsia="ru-RU"/>
    </w:rPr>
  </w:style>
  <w:style w:type="paragraph" w:styleId="732">
    <w:name w:val="Heading 7"/>
    <w:basedOn w:val="725"/>
    <w:next w:val="725"/>
    <w:link w:val="75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733">
    <w:name w:val="Heading 8"/>
    <w:basedOn w:val="725"/>
    <w:next w:val="725"/>
    <w:link w:val="75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734">
    <w:name w:val="Heading 9"/>
    <w:basedOn w:val="725"/>
    <w:next w:val="725"/>
    <w:link w:val="75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5" w:default="1">
    <w:name w:val="Default Paragraph Font"/>
    <w:uiPriority w:val="1"/>
    <w:semiHidden/>
    <w:unhideWhenUsed/>
  </w:style>
  <w:style w:type="table" w:styleId="73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37" w:default="1">
    <w:name w:val="No List"/>
    <w:uiPriority w:val="99"/>
    <w:semiHidden/>
    <w:unhideWhenUsed/>
  </w:style>
  <w:style w:type="character" w:styleId="738" w:customStyle="1">
    <w:name w:val="Heading 1 Char"/>
    <w:basedOn w:val="735"/>
    <w:uiPriority w:val="9"/>
    <w:rPr>
      <w:rFonts w:ascii="Arial" w:hAnsi="Arial" w:eastAsia="Arial" w:cs="Arial"/>
      <w:sz w:val="40"/>
      <w:szCs w:val="40"/>
    </w:rPr>
  </w:style>
  <w:style w:type="character" w:styleId="739" w:customStyle="1">
    <w:name w:val="Heading 2 Char"/>
    <w:basedOn w:val="735"/>
    <w:uiPriority w:val="9"/>
    <w:rPr>
      <w:rFonts w:ascii="Arial" w:hAnsi="Arial" w:eastAsia="Arial" w:cs="Arial"/>
      <w:sz w:val="34"/>
    </w:rPr>
  </w:style>
  <w:style w:type="character" w:styleId="740" w:customStyle="1">
    <w:name w:val="Heading 7 Char"/>
    <w:basedOn w:val="73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41" w:customStyle="1">
    <w:name w:val="Heading 8 Char"/>
    <w:basedOn w:val="735"/>
    <w:uiPriority w:val="9"/>
    <w:rPr>
      <w:rFonts w:ascii="Arial" w:hAnsi="Arial" w:eastAsia="Arial" w:cs="Arial"/>
      <w:i/>
      <w:iCs/>
      <w:sz w:val="22"/>
      <w:szCs w:val="22"/>
    </w:rPr>
  </w:style>
  <w:style w:type="character" w:styleId="742" w:customStyle="1">
    <w:name w:val="Heading 9 Char"/>
    <w:basedOn w:val="735"/>
    <w:uiPriority w:val="9"/>
    <w:rPr>
      <w:rFonts w:ascii="Arial" w:hAnsi="Arial" w:eastAsia="Arial" w:cs="Arial"/>
      <w:i/>
      <w:iCs/>
      <w:sz w:val="21"/>
      <w:szCs w:val="21"/>
    </w:rPr>
  </w:style>
  <w:style w:type="character" w:styleId="743" w:customStyle="1">
    <w:name w:val="Title Char"/>
    <w:basedOn w:val="735"/>
    <w:uiPriority w:val="10"/>
    <w:rPr>
      <w:sz w:val="48"/>
      <w:szCs w:val="48"/>
    </w:rPr>
  </w:style>
  <w:style w:type="character" w:styleId="744" w:customStyle="1">
    <w:name w:val="Subtitle Char"/>
    <w:basedOn w:val="735"/>
    <w:uiPriority w:val="11"/>
    <w:rPr>
      <w:sz w:val="24"/>
      <w:szCs w:val="24"/>
    </w:rPr>
  </w:style>
  <w:style w:type="character" w:styleId="745" w:customStyle="1">
    <w:name w:val="Quote Char"/>
    <w:uiPriority w:val="29"/>
    <w:rPr>
      <w:i/>
    </w:rPr>
  </w:style>
  <w:style w:type="character" w:styleId="746" w:customStyle="1">
    <w:name w:val="Intense Quote Char"/>
    <w:uiPriority w:val="30"/>
    <w:rPr>
      <w:i/>
    </w:rPr>
  </w:style>
  <w:style w:type="character" w:styleId="747" w:customStyle="1">
    <w:name w:val="Header Char"/>
    <w:basedOn w:val="735"/>
    <w:uiPriority w:val="99"/>
  </w:style>
  <w:style w:type="character" w:styleId="748" w:customStyle="1">
    <w:name w:val="Caption Char"/>
    <w:uiPriority w:val="99"/>
  </w:style>
  <w:style w:type="character" w:styleId="749" w:customStyle="1">
    <w:name w:val="Endnote Text Char"/>
    <w:uiPriority w:val="99"/>
    <w:rPr>
      <w:sz w:val="20"/>
    </w:rPr>
  </w:style>
  <w:style w:type="character" w:styleId="750" w:customStyle="1">
    <w:name w:val="Заголовок 1 Знак"/>
    <w:basedOn w:val="735"/>
    <w:link w:val="726"/>
    <w:uiPriority w:val="9"/>
    <w:rPr>
      <w:rFonts w:ascii="Arial" w:hAnsi="Arial" w:eastAsia="Arial" w:cs="Arial"/>
      <w:sz w:val="40"/>
      <w:szCs w:val="40"/>
    </w:rPr>
  </w:style>
  <w:style w:type="character" w:styleId="751" w:customStyle="1">
    <w:name w:val="Заголовок 2 Знак"/>
    <w:basedOn w:val="735"/>
    <w:link w:val="727"/>
    <w:uiPriority w:val="9"/>
    <w:rPr>
      <w:rFonts w:ascii="Arial" w:hAnsi="Arial" w:eastAsia="Arial" w:cs="Arial"/>
      <w:sz w:val="34"/>
    </w:rPr>
  </w:style>
  <w:style w:type="character" w:styleId="752" w:customStyle="1">
    <w:name w:val="Heading 3 Char"/>
    <w:basedOn w:val="735"/>
    <w:uiPriority w:val="9"/>
    <w:rPr>
      <w:rFonts w:ascii="Arial" w:hAnsi="Arial" w:eastAsia="Arial" w:cs="Arial"/>
      <w:sz w:val="30"/>
      <w:szCs w:val="30"/>
    </w:rPr>
  </w:style>
  <w:style w:type="character" w:styleId="753" w:customStyle="1">
    <w:name w:val="Heading 4 Char"/>
    <w:basedOn w:val="735"/>
    <w:uiPriority w:val="9"/>
    <w:rPr>
      <w:rFonts w:ascii="Arial" w:hAnsi="Arial" w:eastAsia="Arial" w:cs="Arial"/>
      <w:b/>
      <w:bCs/>
      <w:sz w:val="26"/>
      <w:szCs w:val="26"/>
    </w:rPr>
  </w:style>
  <w:style w:type="character" w:styleId="754" w:customStyle="1">
    <w:name w:val="Heading 5 Char"/>
    <w:basedOn w:val="735"/>
    <w:uiPriority w:val="9"/>
    <w:rPr>
      <w:rFonts w:ascii="Arial" w:hAnsi="Arial" w:eastAsia="Arial" w:cs="Arial"/>
      <w:b/>
      <w:bCs/>
      <w:sz w:val="24"/>
      <w:szCs w:val="24"/>
    </w:rPr>
  </w:style>
  <w:style w:type="character" w:styleId="755" w:customStyle="1">
    <w:name w:val="Heading 6 Char"/>
    <w:basedOn w:val="735"/>
    <w:uiPriority w:val="9"/>
    <w:rPr>
      <w:rFonts w:ascii="Arial" w:hAnsi="Arial" w:eastAsia="Arial" w:cs="Arial"/>
      <w:b/>
      <w:bCs/>
      <w:sz w:val="22"/>
      <w:szCs w:val="22"/>
    </w:rPr>
  </w:style>
  <w:style w:type="character" w:styleId="756" w:customStyle="1">
    <w:name w:val="Заголовок 7 Знак"/>
    <w:basedOn w:val="735"/>
    <w:link w:val="73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57" w:customStyle="1">
    <w:name w:val="Заголовок 8 Знак"/>
    <w:basedOn w:val="735"/>
    <w:link w:val="733"/>
    <w:uiPriority w:val="9"/>
    <w:rPr>
      <w:rFonts w:ascii="Arial" w:hAnsi="Arial" w:eastAsia="Arial" w:cs="Arial"/>
      <w:i/>
      <w:iCs/>
      <w:sz w:val="22"/>
      <w:szCs w:val="22"/>
    </w:rPr>
  </w:style>
  <w:style w:type="character" w:styleId="758" w:customStyle="1">
    <w:name w:val="Заголовок 9 Знак"/>
    <w:basedOn w:val="735"/>
    <w:link w:val="734"/>
    <w:uiPriority w:val="9"/>
    <w:rPr>
      <w:rFonts w:ascii="Arial" w:hAnsi="Arial" w:eastAsia="Arial" w:cs="Arial"/>
      <w:i/>
      <w:iCs/>
      <w:sz w:val="21"/>
      <w:szCs w:val="21"/>
    </w:rPr>
  </w:style>
  <w:style w:type="paragraph" w:styleId="759">
    <w:name w:val="Title"/>
    <w:basedOn w:val="725"/>
    <w:next w:val="725"/>
    <w:link w:val="76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60" w:customStyle="1">
    <w:name w:val="Название Знак"/>
    <w:basedOn w:val="735"/>
    <w:link w:val="759"/>
    <w:uiPriority w:val="10"/>
    <w:rPr>
      <w:sz w:val="48"/>
      <w:szCs w:val="48"/>
    </w:rPr>
  </w:style>
  <w:style w:type="paragraph" w:styleId="761">
    <w:name w:val="Subtitle"/>
    <w:basedOn w:val="725"/>
    <w:next w:val="725"/>
    <w:link w:val="762"/>
    <w:uiPriority w:val="11"/>
    <w:qFormat/>
    <w:pPr>
      <w:spacing w:before="200" w:after="200"/>
    </w:pPr>
    <w:rPr>
      <w:sz w:val="24"/>
      <w:szCs w:val="24"/>
    </w:rPr>
  </w:style>
  <w:style w:type="character" w:styleId="762" w:customStyle="1">
    <w:name w:val="Подзаголовок Знак"/>
    <w:basedOn w:val="735"/>
    <w:link w:val="761"/>
    <w:uiPriority w:val="11"/>
    <w:rPr>
      <w:sz w:val="24"/>
      <w:szCs w:val="24"/>
    </w:rPr>
  </w:style>
  <w:style w:type="paragraph" w:styleId="763">
    <w:name w:val="Quote"/>
    <w:basedOn w:val="725"/>
    <w:next w:val="725"/>
    <w:link w:val="764"/>
    <w:uiPriority w:val="29"/>
    <w:qFormat/>
    <w:pPr>
      <w:ind w:left="720" w:right="720"/>
    </w:pPr>
    <w:rPr>
      <w:i/>
    </w:rPr>
  </w:style>
  <w:style w:type="character" w:styleId="764" w:customStyle="1">
    <w:name w:val="Цитата 2 Знак"/>
    <w:link w:val="763"/>
    <w:uiPriority w:val="29"/>
    <w:rPr>
      <w:i/>
    </w:rPr>
  </w:style>
  <w:style w:type="paragraph" w:styleId="765">
    <w:name w:val="Intense Quote"/>
    <w:basedOn w:val="725"/>
    <w:next w:val="725"/>
    <w:link w:val="766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66" w:customStyle="1">
    <w:name w:val="Выделенная цитата Знак"/>
    <w:link w:val="765"/>
    <w:uiPriority w:val="30"/>
    <w:rPr>
      <w:i/>
    </w:rPr>
  </w:style>
  <w:style w:type="paragraph" w:styleId="767">
    <w:name w:val="Header"/>
    <w:basedOn w:val="725"/>
    <w:link w:val="76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68" w:customStyle="1">
    <w:name w:val="Верхний колонтитул Знак"/>
    <w:basedOn w:val="735"/>
    <w:link w:val="767"/>
    <w:uiPriority w:val="99"/>
  </w:style>
  <w:style w:type="paragraph" w:styleId="769">
    <w:name w:val="Footer"/>
    <w:basedOn w:val="725"/>
    <w:link w:val="77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70" w:customStyle="1">
    <w:name w:val="Footer Char"/>
    <w:basedOn w:val="735"/>
    <w:uiPriority w:val="99"/>
  </w:style>
  <w:style w:type="paragraph" w:styleId="771">
    <w:name w:val="Caption"/>
    <w:basedOn w:val="725"/>
    <w:next w:val="725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72" w:customStyle="1">
    <w:name w:val="Нижний колонтитул Знак"/>
    <w:link w:val="769"/>
    <w:uiPriority w:val="99"/>
  </w:style>
  <w:style w:type="table" w:styleId="773" w:customStyle="1">
    <w:name w:val="Table Grid Light"/>
    <w:basedOn w:val="736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74">
    <w:name w:val="Plain Table 1"/>
    <w:basedOn w:val="736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5">
    <w:name w:val="Plain Table 2"/>
    <w:basedOn w:val="736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6">
    <w:name w:val="Plain Table 3"/>
    <w:basedOn w:val="73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77">
    <w:name w:val="Plain Table 4"/>
    <w:basedOn w:val="73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Plain Table 5"/>
    <w:basedOn w:val="73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79">
    <w:name w:val="Grid Table 1 Light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Grid Table 1 Light - Accent 1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Grid Table 1 Light - Accent 2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Grid Table 1 Light - Accent 3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Grid Table 1 Light - Accent 4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Grid Table 1 Light - Accent 5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Grid Table 1 Light - Accent 6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Grid Table 2"/>
    <w:basedOn w:val="73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Grid Table 2 - Accent 1"/>
    <w:basedOn w:val="73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Grid Table 2 - Accent 2"/>
    <w:basedOn w:val="73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Grid Table 2 - Accent 3"/>
    <w:basedOn w:val="73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Grid Table 2 - Accent 4"/>
    <w:basedOn w:val="73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Grid Table 2 - Accent 5"/>
    <w:basedOn w:val="73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Grid Table 2 - Accent 6"/>
    <w:basedOn w:val="73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3"/>
    <w:basedOn w:val="73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Grid Table 3 - Accent 1"/>
    <w:basedOn w:val="73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Grid Table 3 - Accent 2"/>
    <w:basedOn w:val="73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Grid Table 3 - Accent 3"/>
    <w:basedOn w:val="73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Grid Table 3 - Accent 4"/>
    <w:basedOn w:val="73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Grid Table 3 - Accent 5"/>
    <w:basedOn w:val="73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Grid Table 3 - Accent 6"/>
    <w:basedOn w:val="73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4"/>
    <w:basedOn w:val="736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01" w:customStyle="1">
    <w:name w:val="Grid Table 4 - Accent 1"/>
    <w:basedOn w:val="736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802" w:customStyle="1">
    <w:name w:val="Grid Table 4 - Accent 2"/>
    <w:basedOn w:val="736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803" w:customStyle="1">
    <w:name w:val="Grid Table 4 - Accent 3"/>
    <w:basedOn w:val="736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804" w:customStyle="1">
    <w:name w:val="Grid Table 4 - Accent 4"/>
    <w:basedOn w:val="736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805" w:customStyle="1">
    <w:name w:val="Grid Table 4 - Accent 5"/>
    <w:basedOn w:val="736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806" w:customStyle="1">
    <w:name w:val="Grid Table 4 - Accent 6"/>
    <w:basedOn w:val="736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807">
    <w:name w:val="Grid Table 5 Dark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08" w:customStyle="1">
    <w:name w:val="Grid Table 5 Dark- Accent 1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809" w:customStyle="1">
    <w:name w:val="Grid Table 5 Dark - Accent 2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810" w:customStyle="1">
    <w:name w:val="Grid Table 5 Dark - Accent 3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811" w:customStyle="1">
    <w:name w:val="Grid Table 5 Dark- Accent 4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812" w:customStyle="1">
    <w:name w:val="Grid Table 5 Dark - Accent 5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813" w:customStyle="1">
    <w:name w:val="Grid Table 5 Dark - Accent 6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814">
    <w:name w:val="Grid Table 6 Colorful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15" w:customStyle="1">
    <w:name w:val="Grid Table 6 Colorful - Accent 1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816" w:customStyle="1">
    <w:name w:val="Grid Table 6 Colorful - Accent 2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17" w:customStyle="1">
    <w:name w:val="Grid Table 6 Colorful - Accent 3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18" w:customStyle="1">
    <w:name w:val="Grid Table 6 Colorful - Accent 4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19" w:customStyle="1">
    <w:name w:val="Grid Table 6 Colorful - Accent 5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20" w:customStyle="1">
    <w:name w:val="Grid Table 6 Colorful - Accent 6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21">
    <w:name w:val="Grid Table 7 Colorful"/>
    <w:basedOn w:val="73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22" w:customStyle="1">
    <w:name w:val="Grid Table 7 Colorful - Accent 1"/>
    <w:basedOn w:val="73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CCCEA" w:themeColor="accen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ACCCEA" w:themeColor="accen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23" w:customStyle="1">
    <w:name w:val="Grid Table 7 Colorful - Accent 2"/>
    <w:basedOn w:val="73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24" w:customStyle="1">
    <w:name w:val="Grid Table 7 Colorful - Accent 3"/>
    <w:basedOn w:val="73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5A5A5" w:themeColor="accent3" w:themeTint="FE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auto" w:sz="0" w:space="0"/>
          <w:left w:val="single" w:color="A5A5A5" w:themeColor="accent3" w:themeTint="FE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25" w:customStyle="1">
    <w:name w:val="Grid Table 7 Colorful - Accent 4"/>
    <w:basedOn w:val="73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26" w:customStyle="1">
    <w:name w:val="Grid Table 7 Colorful - Accent 5"/>
    <w:basedOn w:val="73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5AFDD" w:themeColor="accent5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auto" w:sz="0" w:space="0"/>
          <w:left w:val="single" w:color="95AFDD" w:themeColor="accent5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27" w:customStyle="1">
    <w:name w:val="Grid Table 7 Colorful - Accent 6"/>
    <w:basedOn w:val="73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DD394" w:themeColor="accent6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auto" w:sz="0" w:space="0"/>
          <w:left w:val="single" w:color="ADD394" w:themeColor="accent6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28">
    <w:name w:val="List Table 1 Light"/>
    <w:basedOn w:val="73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List Table 1 Light - Accent 1"/>
    <w:basedOn w:val="73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List Table 1 Light - Accent 2"/>
    <w:basedOn w:val="73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 w:customStyle="1">
    <w:name w:val="List Table 1 Light - Accent 3"/>
    <w:basedOn w:val="73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 w:customStyle="1">
    <w:name w:val="List Table 1 Light - Accent 4"/>
    <w:basedOn w:val="73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 w:customStyle="1">
    <w:name w:val="List Table 1 Light - Accent 5"/>
    <w:basedOn w:val="73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 w:customStyle="1">
    <w:name w:val="List Table 1 Light - Accent 6"/>
    <w:basedOn w:val="73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>
    <w:name w:val="List Table 2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36" w:customStyle="1">
    <w:name w:val="List Table 2 - Accent 1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37" w:customStyle="1">
    <w:name w:val="List Table 2 - Accent 2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38" w:customStyle="1">
    <w:name w:val="List Table 2 - Accent 3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39" w:customStyle="1">
    <w:name w:val="List Table 2 - Accent 4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40" w:customStyle="1">
    <w:name w:val="List Table 2 - Accent 5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41" w:customStyle="1">
    <w:name w:val="List Table 2 - Accent 6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42">
    <w:name w:val="List Table 3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 w:customStyle="1">
    <w:name w:val="List Table 3 - Accent 1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 w:customStyle="1">
    <w:name w:val="List Table 3 - Accent 2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 w:customStyle="1">
    <w:name w:val="List Table 3 - Accent 3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 w:customStyle="1">
    <w:name w:val="List Table 3 - Accent 4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 w:customStyle="1">
    <w:name w:val="List Table 3 - Accent 5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 w:customStyle="1">
    <w:name w:val="List Table 3 - Accent 6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>
    <w:name w:val="List Table 4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 w:customStyle="1">
    <w:name w:val="List Table 4 - Accent 1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 w:customStyle="1">
    <w:name w:val="List Table 4 - Accent 2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 w:customStyle="1">
    <w:name w:val="List Table 4 - Accent 3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 w:customStyle="1">
    <w:name w:val="List Table 4 - Accent 4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 w:customStyle="1">
    <w:name w:val="List Table 4 - Accent 5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 w:customStyle="1">
    <w:name w:val="List Table 4 - Accent 6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>
    <w:name w:val="List Table 5 Dark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7" w:customStyle="1">
    <w:name w:val="List Table 5 Dark - Accent 1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8" w:customStyle="1">
    <w:name w:val="List Table 5 Dark - Accent 2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9" w:customStyle="1">
    <w:name w:val="List Table 5 Dark - Accent 3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0" w:customStyle="1">
    <w:name w:val="List Table 5 Dark - Accent 4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1" w:customStyle="1">
    <w:name w:val="List Table 5 Dark - Accent 5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2" w:customStyle="1">
    <w:name w:val="List Table 5 Dark - Accent 6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3">
    <w:name w:val="List Table 6 Colorful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64" w:customStyle="1">
    <w:name w:val="List Table 6 Colorful - Accent 1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65" w:customStyle="1">
    <w:name w:val="List Table 6 Colorful - Accent 2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66" w:customStyle="1">
    <w:name w:val="List Table 6 Colorful - Accent 3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67" w:customStyle="1">
    <w:name w:val="List Table 6 Colorful - Accent 4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68" w:customStyle="1">
    <w:name w:val="List Table 6 Colorful - Accent 5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69" w:customStyle="1">
    <w:name w:val="List Table 6 Colorful - Accent 6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70">
    <w:name w:val="List Table 7 Colorful"/>
    <w:basedOn w:val="73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71" w:customStyle="1">
    <w:name w:val="List Table 7 Colorful - Accent 1"/>
    <w:basedOn w:val="73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5B9BD5" w:themeColor="accent1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auto" w:sz="0" w:space="0"/>
          <w:left w:val="single" w:color="5B9BD5" w:themeColor="accent1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72" w:customStyle="1">
    <w:name w:val="List Table 7 Colorful - Accent 2"/>
    <w:basedOn w:val="73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73" w:customStyle="1">
    <w:name w:val="List Table 7 Colorful - Accent 3"/>
    <w:basedOn w:val="73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C9C9C9" w:themeColor="accent3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C9C9C9" w:themeColor="accent3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74" w:customStyle="1">
    <w:name w:val="List Table 7 Colorful - Accent 4"/>
    <w:basedOn w:val="73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75" w:customStyle="1">
    <w:name w:val="List Table 7 Colorful - Accent 5"/>
    <w:basedOn w:val="73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8DA9DB" w:themeColor="accent5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8DA9DB" w:themeColor="accent5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76" w:customStyle="1">
    <w:name w:val="List Table 7 Colorful - Accent 6"/>
    <w:basedOn w:val="73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9D08E" w:themeColor="accent6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A9D08E" w:themeColor="accent6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77" w:customStyle="1">
    <w:name w:val="Lined - Accent"/>
    <w:basedOn w:val="73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78" w:customStyle="1">
    <w:name w:val="Lined - Accent 1"/>
    <w:basedOn w:val="73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79" w:customStyle="1">
    <w:name w:val="Lined - Accent 2"/>
    <w:basedOn w:val="73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80" w:customStyle="1">
    <w:name w:val="Lined - Accent 3"/>
    <w:basedOn w:val="73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81" w:customStyle="1">
    <w:name w:val="Lined - Accent 4"/>
    <w:basedOn w:val="73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82" w:customStyle="1">
    <w:name w:val="Lined - Accent 5"/>
    <w:basedOn w:val="73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83" w:customStyle="1">
    <w:name w:val="Lined - Accent 6"/>
    <w:basedOn w:val="73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84" w:customStyle="1">
    <w:name w:val="Bordered &amp; Lined - Accent"/>
    <w:basedOn w:val="73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85" w:customStyle="1">
    <w:name w:val="Bordered &amp; Lined - Accent 1"/>
    <w:basedOn w:val="73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86" w:customStyle="1">
    <w:name w:val="Bordered &amp; Lined - Accent 2"/>
    <w:basedOn w:val="73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87" w:customStyle="1">
    <w:name w:val="Bordered &amp; Lined - Accent 3"/>
    <w:basedOn w:val="73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88" w:customStyle="1">
    <w:name w:val="Bordered &amp; Lined - Accent 4"/>
    <w:basedOn w:val="73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89" w:customStyle="1">
    <w:name w:val="Bordered &amp; Lined - Accent 5"/>
    <w:basedOn w:val="73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90" w:customStyle="1">
    <w:name w:val="Bordered &amp; Lined - Accent 6"/>
    <w:basedOn w:val="73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91" w:customStyle="1">
    <w:name w:val="Bordered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92" w:customStyle="1">
    <w:name w:val="Bordered - Accent 1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93" w:customStyle="1">
    <w:name w:val="Bordered - Accent 2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94" w:customStyle="1">
    <w:name w:val="Bordered - Accent 3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95" w:customStyle="1">
    <w:name w:val="Bordered - Accent 4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96" w:customStyle="1">
    <w:name w:val="Bordered - Accent 5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97" w:customStyle="1">
    <w:name w:val="Bordered - Accent 6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98" w:customStyle="1">
    <w:name w:val="Footnote Text Char"/>
    <w:uiPriority w:val="99"/>
    <w:rPr>
      <w:sz w:val="18"/>
    </w:rPr>
  </w:style>
  <w:style w:type="paragraph" w:styleId="899">
    <w:name w:val="endnote text"/>
    <w:basedOn w:val="725"/>
    <w:link w:val="900"/>
    <w:uiPriority w:val="99"/>
    <w:semiHidden/>
    <w:unhideWhenUsed/>
    <w:pPr>
      <w:spacing w:after="0" w:line="240" w:lineRule="auto"/>
    </w:pPr>
    <w:rPr>
      <w:sz w:val="20"/>
    </w:rPr>
  </w:style>
  <w:style w:type="character" w:styleId="900" w:customStyle="1">
    <w:name w:val="Текст концевой сноски Знак"/>
    <w:link w:val="899"/>
    <w:uiPriority w:val="99"/>
    <w:rPr>
      <w:sz w:val="20"/>
    </w:rPr>
  </w:style>
  <w:style w:type="character" w:styleId="901">
    <w:name w:val="endnote reference"/>
    <w:basedOn w:val="735"/>
    <w:uiPriority w:val="99"/>
    <w:semiHidden/>
    <w:unhideWhenUsed/>
    <w:rPr>
      <w:vertAlign w:val="superscript"/>
    </w:rPr>
  </w:style>
  <w:style w:type="paragraph" w:styleId="902">
    <w:name w:val="toc 1"/>
    <w:basedOn w:val="725"/>
    <w:next w:val="725"/>
    <w:uiPriority w:val="39"/>
    <w:unhideWhenUsed/>
    <w:pPr>
      <w:spacing w:after="57"/>
    </w:pPr>
  </w:style>
  <w:style w:type="paragraph" w:styleId="903">
    <w:name w:val="toc 2"/>
    <w:basedOn w:val="725"/>
    <w:next w:val="725"/>
    <w:uiPriority w:val="39"/>
    <w:unhideWhenUsed/>
    <w:pPr>
      <w:ind w:left="283"/>
      <w:spacing w:after="57"/>
    </w:pPr>
  </w:style>
  <w:style w:type="paragraph" w:styleId="904">
    <w:name w:val="toc 3"/>
    <w:basedOn w:val="725"/>
    <w:next w:val="725"/>
    <w:uiPriority w:val="39"/>
    <w:unhideWhenUsed/>
    <w:pPr>
      <w:ind w:left="567"/>
      <w:spacing w:after="57"/>
    </w:pPr>
  </w:style>
  <w:style w:type="paragraph" w:styleId="905">
    <w:name w:val="toc 4"/>
    <w:basedOn w:val="725"/>
    <w:next w:val="725"/>
    <w:uiPriority w:val="39"/>
    <w:unhideWhenUsed/>
    <w:pPr>
      <w:ind w:left="850"/>
      <w:spacing w:after="57"/>
    </w:pPr>
  </w:style>
  <w:style w:type="paragraph" w:styleId="906">
    <w:name w:val="toc 5"/>
    <w:basedOn w:val="725"/>
    <w:next w:val="725"/>
    <w:uiPriority w:val="39"/>
    <w:unhideWhenUsed/>
    <w:pPr>
      <w:ind w:left="1134"/>
      <w:spacing w:after="57"/>
    </w:pPr>
  </w:style>
  <w:style w:type="paragraph" w:styleId="907">
    <w:name w:val="toc 6"/>
    <w:basedOn w:val="725"/>
    <w:next w:val="725"/>
    <w:uiPriority w:val="39"/>
    <w:unhideWhenUsed/>
    <w:pPr>
      <w:ind w:left="1417"/>
      <w:spacing w:after="57"/>
    </w:pPr>
  </w:style>
  <w:style w:type="paragraph" w:styleId="908">
    <w:name w:val="toc 7"/>
    <w:basedOn w:val="725"/>
    <w:next w:val="725"/>
    <w:uiPriority w:val="39"/>
    <w:unhideWhenUsed/>
    <w:pPr>
      <w:ind w:left="1701"/>
      <w:spacing w:after="57"/>
    </w:pPr>
  </w:style>
  <w:style w:type="paragraph" w:styleId="909">
    <w:name w:val="toc 8"/>
    <w:basedOn w:val="725"/>
    <w:next w:val="725"/>
    <w:uiPriority w:val="39"/>
    <w:unhideWhenUsed/>
    <w:pPr>
      <w:ind w:left="1984"/>
      <w:spacing w:after="57"/>
    </w:pPr>
  </w:style>
  <w:style w:type="paragraph" w:styleId="910">
    <w:name w:val="toc 9"/>
    <w:basedOn w:val="725"/>
    <w:next w:val="725"/>
    <w:uiPriority w:val="39"/>
    <w:unhideWhenUsed/>
    <w:pPr>
      <w:ind w:left="2268"/>
      <w:spacing w:after="57"/>
    </w:pPr>
  </w:style>
  <w:style w:type="paragraph" w:styleId="911">
    <w:name w:val="TOC Heading"/>
    <w:uiPriority w:val="39"/>
    <w:unhideWhenUsed/>
  </w:style>
  <w:style w:type="paragraph" w:styleId="912">
    <w:name w:val="table of figures"/>
    <w:basedOn w:val="725"/>
    <w:next w:val="725"/>
    <w:uiPriority w:val="99"/>
    <w:unhideWhenUsed/>
    <w:pPr>
      <w:spacing w:after="0"/>
    </w:pPr>
  </w:style>
  <w:style w:type="character" w:styleId="913" w:customStyle="1">
    <w:name w:val="Font Style62"/>
    <w:rPr>
      <w:rFonts w:ascii="Times New Roman" w:hAnsi="Times New Roman"/>
      <w:sz w:val="18"/>
    </w:rPr>
  </w:style>
  <w:style w:type="paragraph" w:styleId="914" w:customStyle="1">
    <w:name w:val="Style4"/>
    <w:basedOn w:val="725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915">
    <w:name w:val="Hyperlink"/>
    <w:basedOn w:val="735"/>
    <w:uiPriority w:val="99"/>
    <w:rPr>
      <w:rFonts w:cs="Times New Roman"/>
      <w:color w:val="0000ff"/>
      <w:u w:val="single"/>
    </w:rPr>
  </w:style>
  <w:style w:type="table" w:styleId="916">
    <w:name w:val="Table Grid"/>
    <w:basedOn w:val="736"/>
    <w:uiPriority w:val="59"/>
    <w:pPr>
      <w:spacing w:after="0" w:line="240" w:lineRule="auto"/>
    </w:pPr>
    <w:rPr>
      <w:rFonts w:ascii="Arial" w:hAnsi="Arial" w:eastAsia="Times New Roman" w:cs="Arial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17">
    <w:name w:val="No Spacing"/>
    <w:uiPriority w:val="1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18">
    <w:name w:val="Strong"/>
    <w:basedOn w:val="735"/>
    <w:uiPriority w:val="99"/>
    <w:qFormat/>
    <w:rPr>
      <w:b/>
      <w:bCs/>
    </w:rPr>
  </w:style>
  <w:style w:type="paragraph" w:styleId="919" w:customStyle="1">
    <w:name w:val="САГ_Табличный_по ширине"/>
    <w:basedOn w:val="725"/>
    <w:uiPriority w:val="99"/>
    <w:pPr>
      <w:jc w:val="both"/>
      <w:spacing w:after="0" w:line="240" w:lineRule="auto"/>
    </w:pPr>
    <w:rPr>
      <w:rFonts w:ascii="Times New Roman" w:hAnsi="Times New Roman" w:eastAsia="Times New Roman" w:cs="Times New Roman"/>
      <w:szCs w:val="24"/>
      <w:lang w:eastAsia="ru-RU"/>
    </w:rPr>
  </w:style>
  <w:style w:type="paragraph" w:styleId="920">
    <w:name w:val="List Paragraph"/>
    <w:basedOn w:val="725"/>
    <w:link w:val="942"/>
    <w:uiPriority w:val="34"/>
    <w:qFormat/>
    <w:pPr>
      <w:contextualSpacing/>
      <w:ind w:left="720"/>
    </w:pPr>
  </w:style>
  <w:style w:type="paragraph" w:styleId="921" w:customStyle="1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922">
    <w:name w:val="List Continue 2"/>
    <w:basedOn w:val="725"/>
    <w:link w:val="923"/>
    <w:uiPriority w:val="99"/>
    <w:pPr>
      <w:spacing w:after="12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23" w:customStyle="1">
    <w:name w:val="Продолжение списка 2 Знак"/>
    <w:basedOn w:val="735"/>
    <w:link w:val="922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24" w:customStyle="1">
    <w:name w:val="Font Style67"/>
    <w:rPr>
      <w:rFonts w:ascii="Times New Roman" w:hAnsi="Times New Roman"/>
      <w:i/>
      <w:sz w:val="24"/>
    </w:rPr>
  </w:style>
  <w:style w:type="paragraph" w:styleId="925">
    <w:name w:val="footnote text"/>
    <w:basedOn w:val="725"/>
    <w:link w:val="926"/>
    <w:pPr>
      <w:jc w:val="both"/>
      <w:spacing w:after="60" w:line="240" w:lineRule="auto"/>
    </w:pPr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926" w:customStyle="1">
    <w:name w:val="Текст сноски Знак"/>
    <w:basedOn w:val="735"/>
    <w:link w:val="925"/>
    <w:rPr>
      <w:rFonts w:ascii="Times New Roman" w:hAnsi="Times New Roman" w:eastAsia="Times New Roman" w:cs="Times New Roman"/>
      <w:sz w:val="20"/>
      <w:szCs w:val="20"/>
      <w:lang w:eastAsia="ar-SA"/>
    </w:rPr>
  </w:style>
  <w:style w:type="paragraph" w:styleId="927" w:customStyle="1">
    <w:name w:val="Style40"/>
    <w:basedOn w:val="725"/>
    <w:uiPriority w:val="99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928">
    <w:name w:val="footnote reference"/>
    <w:basedOn w:val="735"/>
    <w:rPr>
      <w:rFonts w:cs="Times New Roman"/>
      <w:vertAlign w:val="superscript"/>
    </w:rPr>
  </w:style>
  <w:style w:type="paragraph" w:styleId="929" w:customStyle="1">
    <w:name w:val="Style8"/>
    <w:basedOn w:val="725"/>
    <w:pPr>
      <w:ind w:hanging="355"/>
      <w:jc w:val="both"/>
      <w:spacing w:after="0" w:line="317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30" w:customStyle="1">
    <w:name w:val="Style7"/>
    <w:basedOn w:val="725"/>
    <w:uiPriority w:val="99"/>
    <w:pPr>
      <w:jc w:val="both"/>
      <w:spacing w:after="0" w:line="312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31" w:customStyle="1">
    <w:name w:val="Style41"/>
    <w:basedOn w:val="725"/>
    <w:uiPriority w:val="99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32" w:customStyle="1">
    <w:name w:val="Font Style70"/>
    <w:basedOn w:val="735"/>
    <w:uiPriority w:val="99"/>
    <w:rPr>
      <w:rFonts w:ascii="Times New Roman" w:hAnsi="Times New Roman" w:cs="Times New Roman"/>
      <w:b/>
      <w:bCs/>
      <w:color w:val="000000"/>
      <w:sz w:val="20"/>
      <w:szCs w:val="20"/>
    </w:rPr>
  </w:style>
  <w:style w:type="character" w:styleId="933" w:customStyle="1">
    <w:name w:val="Font Style71"/>
    <w:basedOn w:val="735"/>
    <w:uiPriority w:val="99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paragraph" w:styleId="934" w:customStyle="1">
    <w:name w:val="САГ_Абзац"/>
    <w:basedOn w:val="725"/>
    <w:qFormat/>
    <w:pPr>
      <w:ind w:firstLine="567"/>
      <w:jc w:val="both"/>
      <w:spacing w:after="0" w:line="240" w:lineRule="auto"/>
      <w:tabs>
        <w:tab w:val="left" w:pos="0" w:leader="none"/>
      </w:tabs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35" w:customStyle="1">
    <w:name w:val="Заголовок 3 Знак"/>
    <w:basedOn w:val="735"/>
    <w:link w:val="728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936" w:customStyle="1">
    <w:name w:val="Заголовок 4 Знак"/>
    <w:basedOn w:val="735"/>
    <w:link w:val="729"/>
    <w:rPr>
      <w:rFonts w:ascii="Arial" w:hAnsi="Arial" w:eastAsia="Times New Roman" w:cs="Times New Roman"/>
      <w:i/>
      <w:iCs/>
      <w:color w:val="0000ff"/>
      <w:sz w:val="28"/>
      <w:szCs w:val="14"/>
      <w:lang w:eastAsia="ru-RU"/>
    </w:rPr>
  </w:style>
  <w:style w:type="character" w:styleId="937" w:customStyle="1">
    <w:name w:val="Заголовок 5 Знак"/>
    <w:basedOn w:val="735"/>
    <w:link w:val="730"/>
    <w:rPr>
      <w:rFonts w:ascii="Arial" w:hAnsi="Arial" w:eastAsia="Times New Roman" w:cs="Times New Roman"/>
      <w:sz w:val="28"/>
      <w:szCs w:val="14"/>
      <w:lang w:eastAsia="ru-RU"/>
    </w:rPr>
  </w:style>
  <w:style w:type="character" w:styleId="938" w:customStyle="1">
    <w:name w:val="Заголовок 6 Знак"/>
    <w:basedOn w:val="735"/>
    <w:link w:val="731"/>
    <w:rPr>
      <w:rFonts w:ascii="Arial" w:hAnsi="Arial" w:eastAsia="Times New Roman" w:cs="Times New Roman"/>
      <w:sz w:val="28"/>
      <w:szCs w:val="14"/>
      <w:lang w:eastAsia="ru-RU"/>
    </w:rPr>
  </w:style>
  <w:style w:type="character" w:styleId="939" w:customStyle="1">
    <w:name w:val="Основной текст_"/>
    <w:basedOn w:val="735"/>
    <w:link w:val="940"/>
    <w:rPr>
      <w:rFonts w:ascii="Times New Roman" w:hAnsi="Times New Roman" w:eastAsia="Times New Roman" w:cs="Times New Roman"/>
      <w:sz w:val="28"/>
      <w:szCs w:val="28"/>
      <w:shd w:val="clear" w:color="auto" w:fill="ffffff"/>
    </w:rPr>
  </w:style>
  <w:style w:type="paragraph" w:styleId="940" w:customStyle="1">
    <w:name w:val="Основной текст1"/>
    <w:basedOn w:val="725"/>
    <w:link w:val="939"/>
    <w:pPr>
      <w:spacing w:after="420" w:line="0" w:lineRule="atLeast"/>
      <w:shd w:val="clear" w:color="auto" w:fill="ffffff"/>
    </w:pPr>
    <w:rPr>
      <w:rFonts w:ascii="Times New Roman" w:hAnsi="Times New Roman" w:eastAsia="Times New Roman" w:cs="Times New Roman"/>
      <w:sz w:val="28"/>
      <w:szCs w:val="28"/>
    </w:rPr>
  </w:style>
  <w:style w:type="paragraph" w:styleId="941">
    <w:name w:val="Normal (Web)"/>
    <w:basedOn w:val="725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42" w:customStyle="1">
    <w:name w:val="Абзац списка Знак"/>
    <w:link w:val="920"/>
    <w:uiPriority w:val="34"/>
  </w:style>
  <w:style w:type="paragraph" w:styleId="943" w:customStyle="1">
    <w:name w:val="docdata"/>
    <w:basedOn w:val="725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44" w:customStyle="1">
    <w:name w:val="Содержимое таблицы"/>
    <w:basedOn w:val="725"/>
    <w:pPr>
      <w:spacing w:after="0" w:line="240" w:lineRule="auto"/>
      <w:widowControl w:val="off"/>
      <w:suppressLineNumbers/>
    </w:pPr>
    <w:rPr>
      <w:rFonts w:ascii="Times New Roman" w:hAnsi="Times New Roman" w:eastAsia="Times New Roman" w:cs="Times New Roman"/>
      <w:sz w:val="20"/>
      <w:szCs w:val="20"/>
      <w:lang w:eastAsia="zh-CN"/>
    </w:rPr>
  </w:style>
  <w:style w:type="paragraph" w:styleId="945" w:customStyle="1">
    <w:name w:val="Заголовок 3"/>
    <w:qFormat/>
    <w:pPr>
      <w:contextualSpacing w:val="0"/>
      <w:ind w:left="0" w:right="0" w:firstLine="0"/>
      <w:jc w:val="lef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2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46" w:customStyle="1">
    <w:name w:val="Заголовок 4"/>
    <w:qFormat/>
    <w:pPr>
      <w:contextualSpacing w:val="0"/>
      <w:ind w:left="0" w:right="0" w:firstLine="0"/>
      <w:jc w:val="righ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3"/>
      <w:suppressLineNumbers w:val="0"/>
    </w:pPr>
    <w:rPr>
      <w:rFonts w:ascii="Arial" w:hAnsi="Arial" w:eastAsia="Times New Roman" w:cs="Times New Roman"/>
      <w:b w:val="0"/>
      <w:bCs w:val="0"/>
      <w:i/>
      <w:iCs/>
      <w:caps w:val="0"/>
      <w:smallCaps w:val="0"/>
      <w:strike w:val="0"/>
      <w:vanish w:val="0"/>
      <w:color w:val="0000ff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47" w:customStyle="1">
    <w:name w:val="Заголовок 5"/>
    <w:qFormat/>
    <w:pPr>
      <w:contextualSpacing w:val="0"/>
      <w:ind w:left="0" w:right="0" w:firstLine="0"/>
      <w:jc w:val="both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4"/>
      <w:suppressLineNumbers w:val="0"/>
    </w:pPr>
    <w:rPr>
      <w:rFonts w:ascii="Arial" w:hAnsi="Arial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48" w:customStyle="1">
    <w:name w:val="Заголовок 6"/>
    <w:qFormat/>
    <w:pPr>
      <w:contextualSpacing w:val="0"/>
      <w:ind w:left="0" w:right="0" w:firstLine="280"/>
      <w:jc w:val="lef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5"/>
      <w:suppressLineNumbers w:val="0"/>
    </w:pPr>
    <w:rPr>
      <w:rFonts w:ascii="Arial" w:hAnsi="Arial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49" w:customStyle="1">
    <w:name w:val="Заголовок 1"/>
    <w:qFormat/>
    <w:pPr>
      <w:numPr>
        <w:ilvl w:val="0"/>
        <w:numId w:val="12"/>
      </w:numPr>
      <w:contextualSpacing w:val="0"/>
      <w:ind w:left="0" w:right="0" w:firstLine="0"/>
      <w:jc w:val="center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tabs>
        <w:tab w:val="num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0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  <w:style w:type="paragraph" w:styleId="950" w:customStyle="1">
    <w:name w:val="Заголовок 2"/>
    <w:qFormat/>
    <w:pPr>
      <w:numPr>
        <w:ilvl w:val="1"/>
        <w:numId w:val="12"/>
      </w:numPr>
      <w:contextualSpacing w:val="0"/>
      <w:ind w:left="0" w:right="0" w:firstLine="0"/>
      <w:jc w:val="righ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tabs>
        <w:tab w:val="num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1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https://www.bashgaz.ru/" TargetMode="External"/><Relationship Id="rId11" Type="http://schemas.openxmlformats.org/officeDocument/2006/relationships/hyperlink" Target="https://www.bashgaz.ru/" TargetMode="External"/><Relationship Id="rId12" Type="http://schemas.openxmlformats.org/officeDocument/2006/relationships/hyperlink" Target="mailto:ishmiyarova.yu@bashgaz.ru," TargetMode="External"/><Relationship Id="rId13" Type="http://schemas.openxmlformats.org/officeDocument/2006/relationships/hyperlink" Target="mailto:amantaeva.rm@bashgaz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343DC7-6A09-479C-A442-D54E6E738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Ишмиярова Юлия Робертовна</dc:creator>
  <cp:keywords/>
  <dc:description/>
  <cp:revision>153</cp:revision>
  <dcterms:created xsi:type="dcterms:W3CDTF">2024-08-19T10:28:00Z</dcterms:created>
  <dcterms:modified xsi:type="dcterms:W3CDTF">2025-11-20T10:40:10Z</dcterms:modified>
</cp:coreProperties>
</file>