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aption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>
      <w:pPr>
        <w:pStyle w:val="Heading1"/>
        <w:rPr>
          <w:szCs w:val="24"/>
        </w:rPr>
      </w:pPr>
      <w:r>
        <w:rPr>
          <w:szCs w:val="24"/>
        </w:rPr>
        <w:t>Составлен «    »                          2025 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08" w:type="dxa"/>
        <w:jc w:val="left"/>
        <w:tblInd w:w="-1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1" w:val="04a0" w:noHBand="0" w:lastColumn="0" w:firstColumn="1" w:lastRow="0" w:firstRow="1"/>
      </w:tblPr>
      <w:tblGrid>
        <w:gridCol w:w="5104"/>
        <w:gridCol w:w="5103"/>
      </w:tblGrid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УАЗ-390944</w:t>
            </w:r>
          </w:p>
        </w:tc>
      </w:tr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i w:val="false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i w:val="false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 w:themeColor="text1"/>
                <w:sz w:val="24"/>
                <w:szCs w:val="24"/>
              </w:rPr>
              <w:t>4659</w:t>
            </w:r>
          </w:p>
        </w:tc>
      </w:tr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widowControl w:val="false"/>
              <w:jc w:val="left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В411АМ102</w:t>
            </w:r>
          </w:p>
        </w:tc>
      </w:tr>
      <w:tr>
        <w:trPr>
          <w:trHeight w:val="30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ХТТ39094470499410</w:t>
            </w:r>
          </w:p>
        </w:tc>
      </w:tr>
      <w:tr>
        <w:trPr>
          <w:trHeight w:val="341" w:hRule="atLeast"/>
          <w:cantSplit w:val="true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42130Н*70302698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33036070420729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color w:val="00000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39094070110858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hanging="0"/>
              <w:rPr>
                <w:rFonts w:eastAsia="Arial Unicode MS"/>
                <w:b/>
                <w:b/>
                <w:i w:val="false"/>
                <w:i w:val="false"/>
                <w:sz w:val="24"/>
                <w:szCs w:val="24"/>
              </w:rPr>
            </w:pPr>
            <w:r>
              <w:rPr>
                <w:rFonts w:eastAsia="Arial Unicode MS"/>
                <w:b/>
                <w:i w:val="false"/>
                <w:sz w:val="24"/>
                <w:szCs w:val="24"/>
              </w:rPr>
              <w:t xml:space="preserve">     </w:t>
            </w:r>
            <w:r>
              <w:rPr>
                <w:rFonts w:eastAsia="Arial Unicode MS"/>
                <w:b/>
                <w:i w:val="false"/>
                <w:sz w:val="24"/>
                <w:szCs w:val="24"/>
              </w:rPr>
              <w:t>Белая ночь</w:t>
            </w:r>
          </w:p>
        </w:tc>
      </w:tr>
      <w:tr>
        <w:trPr>
          <w:trHeight w:val="36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284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 ММ 468353</w:t>
            </w:r>
          </w:p>
        </w:tc>
      </w:tr>
      <w:tr>
        <w:trPr>
          <w:trHeight w:val="35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284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13 № 790528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317 652,87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 w:themeColor="text1"/>
                <w:sz w:val="24"/>
                <w:szCs w:val="24"/>
              </w:rPr>
              <w:t>12 195,58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numPr>
                <w:ilvl w:val="0"/>
                <w:numId w:val="0"/>
              </w:numPr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 w:themeColor="text1"/>
                <w:sz w:val="24"/>
                <w:szCs w:val="24"/>
              </w:rPr>
              <w:t>72905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Принадлежность транспортного средства филиал</w:t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ПАО «Газпром газораспределение Уфа» в д. Князево (Центральный филиал)              </w:t>
      </w:r>
      <w:r>
        <w:rPr>
          <w:i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</w:t>
      </w:r>
      <w:r>
        <w:rPr>
          <w:i/>
          <w:sz w:val="24"/>
          <w:szCs w:val="24"/>
        </w:rPr>
        <w:t xml:space="preserve">450069  г. Уфа, Калининский район, д. Князево, ул. Кирова д.2.   </w:t>
      </w:r>
      <w:r>
        <w:rPr>
          <w:sz w:val="24"/>
          <w:szCs w:val="24"/>
        </w:rPr>
        <w:t xml:space="preserve">                                             </w:t>
      </w:r>
      <w:r>
        <w:rPr>
          <w:i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В результате визуального осмотра установлено: ____________________________________</w:t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1. Заменены следующие агрегаты базовой комплектации:</w:t>
      </w:r>
    </w:p>
    <w:p>
      <w:pPr>
        <w:pStyle w:val="Normal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нет</w:t>
      </w:r>
      <w:r>
        <w:rPr>
          <w:u w:val="single"/>
        </w:rPr>
        <w:t xml:space="preserve">                                                                                             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  <w:u w:val="none"/>
        </w:rPr>
        <w:t xml:space="preserve">     </w:t>
      </w:r>
    </w:p>
    <w:p>
      <w:pPr>
        <w:pStyle w:val="Normal"/>
        <w:rPr>
          <w:szCs w:val="24"/>
          <w:highlight w:val="none"/>
          <w:u w:val="none"/>
        </w:rPr>
      </w:pPr>
      <w:r>
        <w:rPr>
          <w:sz w:val="24"/>
          <w:szCs w:val="24"/>
        </w:rPr>
        <w:t xml:space="preserve">2. Проведено переоборудование с заменой базовых агрегатов: </w:t>
      </w:r>
    </w:p>
    <w:p>
      <w:pPr>
        <w:pStyle w:val="Normal"/>
        <w:rPr>
          <w:sz w:val="24"/>
          <w:szCs w:val="24"/>
          <w:highlight w:val="none"/>
          <w:u w:val="none"/>
        </w:rPr>
      </w:pPr>
      <w:r>
        <w:rPr>
          <w:sz w:val="24"/>
          <w:u w:val="none"/>
        </w:rPr>
        <w:t>____________________________________</w:t>
      </w:r>
      <w:r>
        <w:rPr>
          <w:sz w:val="24"/>
          <w:u w:val="single"/>
        </w:rPr>
        <w:t>нет</w:t>
      </w:r>
      <w:r>
        <w:rPr>
          <w:sz w:val="24"/>
          <w:u w:val="none"/>
        </w:rPr>
        <w:t>____________________________________</w:t>
      </w:r>
      <w:r>
        <w:rPr>
          <w:sz w:val="24"/>
          <w:u w:val="single"/>
        </w:rPr>
        <w:t xml:space="preserve">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3. Дополнительно установленное оборудование:</w:t>
      </w:r>
    </w:p>
    <w:p>
      <w:pPr>
        <w:pStyle w:val="Normal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>ГБО (пропан)</w:t>
      </w:r>
      <w:r>
        <w:rPr>
          <w:sz w:val="24"/>
          <w:szCs w:val="24"/>
          <w:u w:val="none"/>
        </w:rPr>
        <w:t>__________________________________</w:t>
      </w:r>
      <w:r>
        <w:rPr>
          <w:sz w:val="24"/>
          <w:szCs w:val="24"/>
          <w:u w:val="single"/>
        </w:rPr>
        <w:t xml:space="preserve"> </w:t>
      </w:r>
      <w:r>
        <w:rPr>
          <w:u w:val="single"/>
        </w:rPr>
        <w:t xml:space="preserve">               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4. Отсутствуют следующие агрегаты базовой комплектации: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  <w:u w:val="none"/>
        </w:rPr>
        <w:t>____________________________________</w:t>
      </w:r>
      <w:r>
        <w:rPr>
          <w:sz w:val="24"/>
          <w:szCs w:val="24"/>
          <w:u w:val="single"/>
        </w:rPr>
        <w:t xml:space="preserve">                                                                              </w:t>
      </w:r>
    </w:p>
    <w:p>
      <w:pPr>
        <w:pStyle w:val="Normal"/>
        <w:rPr>
          <w:color w:val="000000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 xml:space="preserve">5. Эксплуатационные дефекты: </w:t>
      </w:r>
    </w:p>
    <w:p>
      <w:pPr>
        <w:pStyle w:val="Normal"/>
        <w:rPr>
          <w:sz w:val="24"/>
          <w:szCs w:val="24"/>
          <w:highlight w:val="none"/>
          <w:u w:val="none"/>
        </w:rPr>
      </w:pPr>
      <w:r>
        <w:rPr>
          <w:b/>
          <w:sz w:val="24"/>
          <w:szCs w:val="24"/>
        </w:rPr>
        <w:t xml:space="preserve">Двигатель: </w:t>
      </w:r>
      <w:r>
        <w:rPr>
          <w:sz w:val="24"/>
          <w:szCs w:val="24"/>
          <w:u w:val="single"/>
        </w:rPr>
        <w:t>Низкая компрессия в цилиндрах двигателя,  низкое давление масла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Требуется капитальный ремонт .</w:t>
      </w:r>
      <w:r>
        <w:rPr>
          <w:sz w:val="24"/>
          <w:szCs w:val="24"/>
        </w:rPr>
        <w:t xml:space="preserve">   </w:t>
      </w:r>
    </w:p>
    <w:p>
      <w:pPr>
        <w:pStyle w:val="Normal"/>
        <w:rPr>
          <w:b/>
          <w:b/>
          <w:sz w:val="24"/>
          <w:szCs w:val="24"/>
          <w:highlight w:val="none"/>
        </w:rPr>
      </w:pPr>
      <w:r>
        <w:rPr>
          <w:b/>
          <w:sz w:val="24"/>
          <w:szCs w:val="24"/>
        </w:rPr>
        <w:t>Трансмиссия:</w:t>
      </w:r>
      <w:r>
        <w:rPr>
          <w:sz w:val="24"/>
          <w:szCs w:val="24"/>
          <w:u w:val="single"/>
        </w:rPr>
        <w:t xml:space="preserve"> Вибрация при движении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Требуется частичный ремонт.</w:t>
      </w:r>
      <w:r>
        <w:rPr>
          <w:sz w:val="24"/>
          <w:szCs w:val="24"/>
          <w:u w:val="single"/>
        </w:rPr>
        <w:t xml:space="preserve"> </w:t>
      </w:r>
    </w:p>
    <w:p>
      <w:pPr>
        <w:pStyle w:val="Normal"/>
        <w:rPr>
          <w:b w:val="false"/>
          <w:b w:val="false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Ходовая часть: </w:t>
      </w:r>
      <w:r>
        <w:rPr>
          <w:b w:val="false"/>
          <w:sz w:val="24"/>
          <w:szCs w:val="24"/>
          <w:u w:val="single"/>
        </w:rPr>
        <w:t>Люфт в рулевом механизме, износ амортизаторов, коррозия резьбовых соединений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Требуется   ремонт.</w:t>
      </w:r>
    </w:p>
    <w:p>
      <w:pPr>
        <w:pStyle w:val="TextBody"/>
        <w:rPr>
          <w:b w:val="false"/>
          <w:b w:val="false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Салон: </w:t>
      </w:r>
      <w:r>
        <w:rPr>
          <w:b w:val="false"/>
          <w:sz w:val="24"/>
          <w:szCs w:val="24"/>
          <w:u w:val="single"/>
        </w:rPr>
        <w:t>Износ обивки сидений и салона, коррозия кузова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Требуется   ремонт. </w:t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Директор филиала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ПАО «Газпром газораспределение Уфа» в д. Князево  _____________________/Т.Р. Кускильдин 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ТС _____________________________________________________/И.Г. Бакиров/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</w:r>
    </w:p>
    <w:p>
      <w:pPr>
        <w:pStyle w:val="Normal"/>
        <w:rPr/>
      </w:pPr>
      <w:r>
        <w:rPr/>
      </w:r>
    </w:p>
    <w:p>
      <w:pPr>
        <w:pStyle w:val="Heading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708" w:gutter="0" w:header="0" w:top="142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jc w:val="center"/>
      <w:outlineLvl w:val="0"/>
    </w:pPr>
    <w:rPr>
      <w:sz w:val="24"/>
    </w:rPr>
  </w:style>
  <w:style w:type="paragraph" w:styleId="Heading2">
    <w:name w:val="Heading 2"/>
    <w:basedOn w:val="Normal"/>
    <w:uiPriority w:val="9"/>
    <w:unhideWhenUsed/>
    <w:qFormat/>
    <w:pPr>
      <w:keepNext w:val="true"/>
      <w:jc w:val="right"/>
      <w:outlineLvl w:val="1"/>
    </w:pPr>
    <w:rPr>
      <w:sz w:val="28"/>
    </w:rPr>
  </w:style>
  <w:style w:type="paragraph" w:styleId="Heading3">
    <w:name w:val="Heading 3"/>
    <w:basedOn w:val="Normal"/>
    <w:uiPriority w:val="9"/>
    <w:unhideWhenUsed/>
    <w:qFormat/>
    <w:pPr>
      <w:keepNext w:val="true"/>
      <w:outlineLvl w:val="2"/>
    </w:pPr>
    <w:rPr>
      <w:sz w:val="28"/>
    </w:rPr>
  </w:style>
  <w:style w:type="paragraph" w:styleId="Heading4">
    <w:name w:val="Heading 4"/>
    <w:basedOn w:val="Normal"/>
    <w:uiPriority w:val="9"/>
    <w:unhideWhenUsed/>
    <w:qFormat/>
    <w:pPr>
      <w:keepNext w:val="true"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Heading5">
    <w:name w:val="Heading 5"/>
    <w:basedOn w:val="Normal"/>
    <w:uiPriority w:val="9"/>
    <w:unhideWhenUsed/>
    <w:qFormat/>
    <w:pPr>
      <w:keepNext w:val="true"/>
      <w:jc w:val="both"/>
      <w:outlineLvl w:val="4"/>
    </w:pPr>
    <w:rPr>
      <w:rFonts w:ascii="Arial" w:hAnsi="Arial"/>
      <w:sz w:val="28"/>
      <w:szCs w:val="14"/>
    </w:rPr>
  </w:style>
  <w:style w:type="paragraph" w:styleId="Heading6">
    <w:name w:val="Heading 6"/>
    <w:basedOn w:val="Normal"/>
    <w:uiPriority w:val="9"/>
    <w:unhideWhenUsed/>
    <w:qFormat/>
    <w:pPr>
      <w:keepNext w:val="true"/>
      <w:ind w:firstLine="280"/>
      <w:outlineLvl w:val="5"/>
    </w:pPr>
    <w:rPr>
      <w:rFonts w:ascii="Arial" w:hAnsi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InternetLink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Anchor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Anchor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PageNumber">
    <w:name w:val="Page Number"/>
    <w:basedOn w:val="Style7"/>
    <w:rPr/>
  </w:style>
  <w:style w:type="character" w:styleId="Style8">
    <w:name w:val="Текст выноски Знак"/>
    <w:qFormat/>
    <w:rPr>
      <w:rFonts w:ascii="Segoe UI" w:hAnsi="Segoe UI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TextBody">
    <w:name w:val="Body Text"/>
    <w:basedOn w:val="Normal"/>
    <w:pPr/>
    <w:rPr>
      <w:sz w:val="28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jc w:val="center"/>
    </w:pPr>
    <w:rPr>
      <w:b/>
      <w:sz w:val="28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Style9">
    <w:name w:val="Заголовок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1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Contents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Contents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Contents3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Contents4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Contents5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Contents6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Contents7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Contents8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Contents9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IndexHeading">
    <w:name w:val="Index Heading"/>
    <w:basedOn w:val="Style9"/>
    <w:pPr/>
    <w:rPr/>
  </w:style>
  <w:style w:type="paragraph" w:styleId="Contents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Style12">
    <w:name w:val="Схема документа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Style13">
    <w:name w:val="Абзац списка"/>
    <w:basedOn w:val="Normal"/>
    <w:qFormat/>
    <w:pPr>
      <w:spacing w:before="0" w:after="0"/>
      <w:ind w:left="720" w:hanging="0"/>
      <w:contextualSpacing/>
    </w:pPr>
    <w:rPr>
      <w:sz w:val="24"/>
      <w:szCs w:val="24"/>
    </w:rPr>
  </w:style>
  <w:style w:type="paragraph" w:styleId="Style14">
    <w:name w:val="Текст выноски"/>
    <w:basedOn w:val="Normal"/>
    <w:qFormat/>
    <w:pPr/>
    <w:rPr>
      <w:rFonts w:ascii="Segoe UI" w:hAnsi="Segoe UI"/>
      <w:sz w:val="18"/>
      <w:szCs w:val="18"/>
    </w:rPr>
  </w:style>
  <w:style w:type="paragraph" w:styleId="Style15">
    <w:name w:val="Содержимое врезки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numbering" w:styleId="Style16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730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33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34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735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36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3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3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4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4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4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4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44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8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9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0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1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2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3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4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5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6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7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8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5FDBC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C5FDBC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1EBE03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60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36B8FB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761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43C03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762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DC33FA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763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C99C00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C9211E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6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79FB64" w:themeFill="accent1" w:themeFillTint="75"/>
      </w:tcPr>
    </w:tblStylePr>
    <w:tblStylePr w:type="band1Vert">
      <w:tblPr/>
      <w:tcPr>
        <w:shd w:val="clear" w:color="FFFFFF" w:fill="79FB64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18A303" w:themeFill="accent1"/>
      </w:tcPr>
    </w:tblStylePr>
  </w:style>
  <w:style w:type="table" w:styleId="76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64C8FB" w:themeFill="accent2" w:themeFillTint="75"/>
      </w:tcPr>
    </w:tblStylePr>
    <w:tblStylePr w:type="band1Vert">
      <w:tblPr/>
      <w:tcPr>
        <w:shd w:val="clear" w:color="FFFFFF" w:fill="64C8FB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369A3" w:themeFill="accent2"/>
      </w:tcPr>
    </w:tblStylePr>
  </w:style>
  <w:style w:type="table" w:styleId="76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9964" w:themeFill="accent3" w:themeFillTint="75"/>
      </w:tcPr>
    </w:tblStylePr>
    <w:tblStylePr w:type="band1Vert">
      <w:tblPr/>
      <w:tcPr>
        <w:shd w:val="clear" w:color="FFFFFF" w:fill="FB9964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A33E03" w:themeFill="accent3"/>
      </w:tcPr>
    </w:tblStylePr>
  </w:style>
  <w:style w:type="table" w:styleId="76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464FB" w:themeFill="accent4" w:themeFillTint="75"/>
      </w:tcPr>
    </w:tblStylePr>
    <w:tblStylePr w:type="band1Vert">
      <w:tblPr/>
      <w:tcPr>
        <w:shd w:val="clear" w:color="FFFFFF" w:fill="E464FB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E03A3" w:themeFill="accent4"/>
      </w:tcPr>
    </w:tblStylePr>
  </w:style>
  <w:style w:type="table" w:styleId="77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DB71" w:themeFill="accent5" w:themeFillTint="75"/>
      </w:tcPr>
    </w:tblStylePr>
    <w:tblStylePr w:type="band1Vert">
      <w:tblPr/>
      <w:tcPr>
        <w:shd w:val="clear" w:color="FFFFFF" w:fill="FFDB71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99C00" w:themeFill="accent5"/>
      </w:tcPr>
    </w:tblStylePr>
  </w:style>
  <w:style w:type="table" w:styleId="77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E8F8F" w:themeFill="accent6" w:themeFillTint="75"/>
      </w:tcPr>
    </w:tblStylePr>
    <w:tblStylePr w:type="band1Vert">
      <w:tblPr/>
      <w:tcPr>
        <w:shd w:val="clear" w:color="FFFFFF" w:fill="EE8F8F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9211E" w:themeFill="accent6"/>
      </w:tcPr>
    </w:tblStylePr>
  </w:style>
  <w:style w:type="table" w:styleId="772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7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C3FDBA" w:themeFill="accent1" w:themeFillTint="34"/>
      </w:tcPr>
    </w:tblStylePr>
    <w:tblStylePr w:type="band1Vert">
      <w:tblPr/>
      <w:tcPr>
        <w:shd w:val="clear" w:color="FFFFFF" w:fill="C3FDBA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1EBF04" w:themeColor="accent1" w:themeTint="80" w:themeShade="95"/>
      </w:rPr>
      <w:tblPr/>
    </w:tblStylePr>
    <w:tblStylePr w:type="firstRow">
      <w:rPr>
        <w:b/>
        <w:color w:val="1EBF04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1EBF04" w:themeColor="accent1" w:themeTint="80" w:themeShade="95"/>
      </w:rPr>
      <w:tblPr/>
    </w:tblStylePr>
    <w:tblStylePr w:type="lastRow">
      <w:rPr>
        <w:b/>
        <w:color w:val="1EBF04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7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BCE7FD" w:themeFill="accent2" w:themeFillTint="32"/>
      </w:tcPr>
    </w:tblStylePr>
    <w:tblStylePr w:type="band1Vert">
      <w:tblPr/>
      <w:tcPr>
        <w:shd w:val="clear" w:color="FFFFFF" w:fill="BCE7FD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0378AE" w:themeColor="accent2" w:themeTint="97" w:themeShade="95"/>
      </w:rPr>
      <w:tblPr/>
    </w:tblStylePr>
    <w:tblStylePr w:type="firstRow">
      <w:rPr>
        <w:b/>
        <w:color w:val="0378AE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0378AE" w:themeColor="accent2" w:themeTint="97" w:themeShade="95"/>
      </w:rPr>
      <w:tblPr/>
    </w:tblStylePr>
    <w:tblStylePr w:type="lastRow">
      <w:rPr>
        <w:b/>
        <w:color w:val="0378AE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7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FDD2BA" w:themeFill="accent3" w:themeFillTint="34"/>
      </w:tcPr>
    </w:tblStylePr>
    <w:tblStylePr w:type="band1Vert">
      <w:tblPr/>
      <w:tcPr>
        <w:shd w:val="clear" w:color="FFFFFF" w:fill="FDD2BA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E2201" w:themeColor="accent3" w:themeTint="fe" w:themeShade="95"/>
      </w:rPr>
      <w:tblPr/>
    </w:tblStylePr>
    <w:tblStylePr w:type="firstRow">
      <w:rPr>
        <w:b/>
        <w:color w:val="5E2201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E2201" w:themeColor="accent3" w:themeTint="fe" w:themeShade="95"/>
      </w:rPr>
      <w:tblPr/>
    </w:tblStylePr>
    <w:tblStylePr w:type="lastRow">
      <w:rPr>
        <w:b/>
        <w:color w:val="5E2201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7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3BAFD" w:themeFill="accent4" w:themeFillTint="34"/>
      </w:tcPr>
    </w:tblStylePr>
    <w:tblStylePr w:type="band1Vert">
      <w:tblPr/>
      <w:tcPr>
        <w:shd w:val="clear" w:color="FFFFFF" w:fill="F3BAFD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9104AB" w:themeColor="accent4" w:themeTint="9a" w:themeShade="95"/>
      </w:rPr>
      <w:tblPr/>
    </w:tblStylePr>
    <w:tblStylePr w:type="firstRow">
      <w:rPr>
        <w:b/>
        <w:color w:val="9104AB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9104AB" w:themeColor="accent4" w:themeTint="9a" w:themeShade="95"/>
      </w:rPr>
      <w:tblPr/>
    </w:tblStylePr>
    <w:tblStylePr w:type="lastRow">
      <w:rPr>
        <w:b/>
        <w:color w:val="9104AB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7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FEFBF" w:themeFill="accent5" w:themeFillTint="34"/>
      </w:tcPr>
    </w:tblStylePr>
    <w:tblStylePr w:type="band1Vert">
      <w:tblPr/>
      <w:tcPr>
        <w:shd w:val="clear" w:color="FFFFFF" w:fill="FFEFBF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745700" w:themeColor="accent5" w:themeShade="95"/>
      </w:rPr>
      <w:tblPr/>
    </w:tblStylePr>
    <w:tblStylePr w:type="firstRow">
      <w:rPr>
        <w:b/>
        <w:color w:val="745700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  <w:tblPr/>
    </w:tblStylePr>
    <w:tblStylePr w:type="lastRow">
      <w:rPr>
        <w:b/>
        <w:color w:val="745700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7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7CCCC" w:themeFill="accent6" w:themeFillTint="34"/>
      </w:tcPr>
    </w:tblStylePr>
    <w:tblStylePr w:type="band1Vert">
      <w:tblPr/>
      <w:tcPr>
        <w:shd w:val="clear" w:color="FFFFFF" w:fill="F7CCCC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745700" w:themeColor="accent5" w:themeShade="95"/>
      </w:rPr>
      <w:tblPr/>
    </w:tblStylePr>
    <w:tblStylePr w:type="firstRow">
      <w:rPr>
        <w:b/>
        <w:color w:val="745700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  <w:tblPr/>
    </w:tblStylePr>
    <w:tblStylePr w:type="lastRow">
      <w:rPr>
        <w:b/>
        <w:color w:val="745700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79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1EBF04" w:themeColor="accent1" w:themeTint="80" w:themeShade="95"/>
        <w:sz w:val="22"/>
      </w:rPr>
      <w:tblPr/>
      <w:tcPr>
        <w:shd w:val="clear" w:color="FFFFFF" w:fill="C3FDBA" w:themeFill="accent1" w:themeFillTint="34"/>
      </w:tcPr>
    </w:tblStylePr>
    <w:tblStylePr w:type="band1Vert">
      <w:tblPr/>
      <w:tcPr>
        <w:shd w:val="clear" w:color="FFFFFF" w:fill="C3FDBA" w:themeFill="accent1" w:themeFillTint="34"/>
      </w:tcPr>
    </w:tblStylePr>
    <w:tblStylePr w:type="band2Horz">
      <w:rPr>
        <w:color w:val="1EBF04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1EBF04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0378AE" w:themeColor="accent2" w:themeTint="97" w:themeShade="95"/>
        <w:sz w:val="22"/>
      </w:rPr>
      <w:tblPr/>
      <w:tcPr>
        <w:shd w:val="clear" w:color="FFFFFF" w:fill="BCE7FD" w:themeFill="accent2" w:themeFillTint="32"/>
      </w:tcPr>
    </w:tblStylePr>
    <w:tblStylePr w:type="band1Vert">
      <w:tblPr/>
      <w:tcPr>
        <w:shd w:val="clear" w:color="FFFFFF" w:fill="BCE7FD" w:themeFill="accent2" w:themeFillTint="32"/>
      </w:tcPr>
    </w:tblStylePr>
    <w:tblStylePr w:type="band2Horz">
      <w:rPr>
        <w:color w:val="0378AE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0378AE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E2201" w:themeColor="accent3" w:themeTint="fe" w:themeShade="95"/>
        <w:sz w:val="22"/>
      </w:rPr>
      <w:tblPr/>
      <w:tcPr>
        <w:shd w:val="clear" w:color="FFFFFF" w:fill="FDD2BA" w:themeFill="accent3" w:themeFillTint="34"/>
      </w:tcPr>
    </w:tblStylePr>
    <w:tblStylePr w:type="band1Vert">
      <w:tblPr/>
      <w:tcPr>
        <w:shd w:val="clear" w:color="FFFFFF" w:fill="FDD2BA" w:themeFill="accent3" w:themeFillTint="34"/>
      </w:tcPr>
    </w:tblStylePr>
    <w:tblStylePr w:type="band2Horz">
      <w:rPr>
        <w:color w:val="5E2201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5E2201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9104AB" w:themeColor="accent4" w:themeTint="9a" w:themeShade="95"/>
        <w:sz w:val="22"/>
      </w:rPr>
      <w:tblPr/>
      <w:tcPr>
        <w:shd w:val="clear" w:color="FFFFFF" w:fill="F3BAFD" w:themeFill="accent4" w:themeFillTint="34"/>
      </w:tcPr>
    </w:tblStylePr>
    <w:tblStylePr w:type="band1Vert">
      <w:tblPr/>
      <w:tcPr>
        <w:shd w:val="clear" w:color="FFFFFF" w:fill="F3BAFD" w:themeFill="accent4" w:themeFillTint="34"/>
      </w:tcPr>
    </w:tblStylePr>
    <w:tblStylePr w:type="band2Horz">
      <w:rPr>
        <w:color w:val="9104AB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9104AB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745700" w:themeColor="accent5" w:themeShade="95"/>
        <w:sz w:val="22"/>
      </w:rPr>
      <w:tblPr/>
      <w:tcPr>
        <w:shd w:val="clear" w:color="FFFFFF" w:fill="FFEFBF" w:themeFill="accent5" w:themeFillTint="34"/>
      </w:tcPr>
    </w:tblStylePr>
    <w:tblStylePr w:type="band1Vert">
      <w:tblPr/>
      <w:tcPr>
        <w:shd w:val="clear" w:color="FFFFFF" w:fill="FFEFBF" w:themeFill="accent5" w:themeFillTint="34"/>
      </w:tcPr>
    </w:tblStylePr>
    <w:tblStylePr w:type="band2Horz">
      <w:rPr>
        <w:color w:val="745700" w:themeColor="accent5" w:themeShade="95"/>
        <w:sz w:val="22"/>
      </w:rPr>
      <w:tblPr/>
    </w:tblStylePr>
    <w:tblStylePr w:type="firstCol">
      <w:pPr>
        <w:jc w:val="right"/>
      </w:pPr>
      <w:rPr>
        <w:i/>
        <w:color w:val="745700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745700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45700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745700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741111" w:themeColor="accent6" w:themeShade="95"/>
        <w:sz w:val="22"/>
      </w:rPr>
      <w:tblPr/>
      <w:tcPr>
        <w:shd w:val="clear" w:color="FFFFFF" w:fill="F7CCCC" w:themeFill="accent6" w:themeFillTint="34"/>
      </w:tcPr>
    </w:tblStylePr>
    <w:tblStylePr w:type="band1Vert">
      <w:tblPr/>
      <w:tcPr>
        <w:shd w:val="clear" w:color="FFFFFF" w:fill="F7CCCC" w:themeFill="accent6" w:themeFillTint="34"/>
      </w:tcPr>
    </w:tblStylePr>
    <w:tblStylePr w:type="band2Horz">
      <w:rPr>
        <w:color w:val="741111" w:themeColor="accent6" w:themeShade="95"/>
        <w:sz w:val="22"/>
      </w:rPr>
      <w:tblPr/>
    </w:tblStylePr>
    <w:tblStylePr w:type="firstCol">
      <w:pPr>
        <w:jc w:val="right"/>
      </w:pPr>
      <w:rPr>
        <w:i/>
        <w:color w:val="741111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741111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41111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741111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6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94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95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96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97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98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99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00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1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2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3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7A35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4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5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D042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6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E96E6E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7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8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9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10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11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12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13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14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1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18A303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18A303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18A303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18A303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1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36B8FB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36B8FB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36B8FB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36B8FB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1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7A35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7A35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7A35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FA7A35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1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C33FA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C33FA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C33FA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DC33FA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1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042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042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042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FFD042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2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E96E6E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E96E6E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E96E6E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E96E6E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21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82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0E5E01" w:themeColor="accent1" w:themeShade="95"/>
      </w:rPr>
      <w:tblPr/>
    </w:tblStylePr>
    <w:tblStylePr w:type="firstRow">
      <w:rPr>
        <w:b/>
        <w:color w:val="0E5E0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  <w:tblPr/>
    </w:tblStylePr>
    <w:tblStylePr w:type="lastRow">
      <w:rPr>
        <w:b/>
        <w:color w:val="0E5E0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0378AE" w:themeColor="accent2" w:themeTint="97" w:themeShade="95"/>
      </w:rPr>
      <w:tblPr/>
    </w:tblStylePr>
    <w:tblStylePr w:type="firstRow">
      <w:rPr>
        <w:b/>
        <w:color w:val="0378AE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0378AE" w:themeColor="accent2" w:themeTint="97" w:themeShade="95"/>
      </w:rPr>
      <w:tblPr/>
    </w:tblStylePr>
    <w:tblStylePr w:type="lastRow">
      <w:rPr>
        <w:b/>
        <w:color w:val="0378AE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82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AB3B04" w:themeColor="accent3" w:themeTint="98" w:themeShade="95"/>
      </w:rPr>
      <w:tblPr/>
    </w:tblStylePr>
    <w:tblStylePr w:type="firstRow">
      <w:rPr>
        <w:b/>
        <w:color w:val="AB3B04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AB3B04" w:themeColor="accent3" w:themeTint="98" w:themeShade="95"/>
      </w:rPr>
      <w:tblPr/>
    </w:tblStylePr>
    <w:tblStylePr w:type="lastRow">
      <w:rPr>
        <w:b/>
        <w:color w:val="AB3B04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82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9104AB" w:themeColor="accent4" w:themeTint="9a" w:themeShade="95"/>
      </w:rPr>
      <w:tblPr/>
    </w:tblStylePr>
    <w:tblStylePr w:type="firstRow">
      <w:rPr>
        <w:b/>
        <w:color w:val="9104AB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9104AB" w:themeColor="accent4" w:themeTint="9a" w:themeShade="95"/>
      </w:rPr>
      <w:tblPr/>
    </w:tblStylePr>
    <w:tblStylePr w:type="lastRow">
      <w:rPr>
        <w:b/>
        <w:color w:val="9104AB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82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BA8700" w:themeColor="accent5" w:themeTint="9a" w:themeShade="95"/>
      </w:rPr>
      <w:tblPr/>
    </w:tblStylePr>
    <w:tblStylePr w:type="firstRow">
      <w:rPr>
        <w:b/>
        <w:color w:val="BA870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BA8700" w:themeColor="accent5" w:themeTint="9a" w:themeShade="95"/>
      </w:rPr>
      <w:tblPr/>
    </w:tblStylePr>
    <w:tblStylePr w:type="lastRow">
      <w:rPr>
        <w:b/>
        <w:color w:val="BA870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82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AD1A1A" w:themeColor="accent6" w:themeTint="98" w:themeShade="95"/>
      </w:rPr>
      <w:tblPr/>
    </w:tblStylePr>
    <w:tblStylePr w:type="firstRow">
      <w:rPr>
        <w:b/>
        <w:color w:val="AD1A1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AD1A1A" w:themeColor="accent6" w:themeTint="98" w:themeShade="95"/>
      </w:rPr>
      <w:tblPr/>
    </w:tblStylePr>
    <w:tblStylePr w:type="lastRow">
      <w:rPr>
        <w:b/>
        <w:color w:val="AD1A1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828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2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0E5E01" w:themeColor="accent1" w:themeShade="95"/>
        <w:sz w:val="22"/>
      </w:rPr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band2Horz">
      <w:rPr>
        <w:color w:val="0E5E01" w:themeColor="accent1" w:themeShade="95"/>
        <w:sz w:val="22"/>
      </w:rPr>
      <w:tblPr/>
    </w:tblStylePr>
    <w:tblStylePr w:type="firstCol">
      <w:pPr>
        <w:jc w:val="right"/>
      </w:pPr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0E5E01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0E5E01" w:themeColor="accent1" w:themeShade="95"/>
        <w:sz w:val="22"/>
      </w:rPr>
      <w:tblPr/>
    </w:tblStylePr>
  </w:style>
  <w:style w:type="table" w:styleId="83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0378AE" w:themeColor="accent2" w:themeTint="97" w:themeShade="95"/>
        <w:sz w:val="22"/>
      </w:rPr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band2Horz">
      <w:rPr>
        <w:color w:val="0378AE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0378AE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0378AE" w:themeColor="accent2" w:themeTint="97" w:themeShade="95"/>
        <w:sz w:val="22"/>
      </w:rPr>
      <w:tblPr/>
    </w:tblStylePr>
  </w:style>
  <w:style w:type="table" w:styleId="83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AB3B04" w:themeColor="accent3" w:themeTint="98" w:themeShade="95"/>
        <w:sz w:val="22"/>
      </w:rPr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band2Horz">
      <w:rPr>
        <w:color w:val="AB3B04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AB3B04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AB3B04" w:themeColor="accent3" w:themeTint="98" w:themeShade="95"/>
        <w:sz w:val="22"/>
      </w:rPr>
      <w:tblPr/>
    </w:tblStylePr>
  </w:style>
  <w:style w:type="table" w:styleId="83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9104AB" w:themeColor="accent4" w:themeTint="9a" w:themeShade="95"/>
        <w:sz w:val="22"/>
      </w:rPr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band2Horz">
      <w:rPr>
        <w:color w:val="9104AB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9104AB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9104AB" w:themeColor="accent4" w:themeTint="9a" w:themeShade="95"/>
        <w:sz w:val="22"/>
      </w:rPr>
      <w:tblPr/>
    </w:tblStylePr>
  </w:style>
  <w:style w:type="table" w:styleId="83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BA8700" w:themeColor="accent5" w:themeTint="9a" w:themeShade="95"/>
        <w:sz w:val="22"/>
      </w:rPr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band2Horz">
      <w:rPr>
        <w:color w:val="BA870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BA870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BA8700" w:themeColor="accent5" w:themeTint="9a" w:themeShade="95"/>
        <w:sz w:val="22"/>
      </w:rPr>
      <w:tblPr/>
    </w:tblStylePr>
  </w:style>
  <w:style w:type="table" w:styleId="83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AD1A1A" w:themeColor="accent6" w:themeTint="98" w:themeShade="95"/>
        <w:sz w:val="22"/>
      </w:rPr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band2Horz">
      <w:rPr>
        <w:color w:val="AD1A1A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AD1A1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AD1A1A" w:themeColor="accent6" w:themeTint="98" w:themeShade="95"/>
        <w:sz w:val="22"/>
      </w:rPr>
      <w:tblPr/>
    </w:tblStylePr>
  </w:style>
  <w:style w:type="table" w:styleId="83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83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EBE03" w:themeFill="accent1" w:themeFillTint="ea"/>
      </w:tcPr>
    </w:tblStylePr>
  </w:style>
  <w:style w:type="table" w:styleId="83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36B8FB" w:themeFill="accent2" w:themeFillTint="97"/>
      </w:tcPr>
    </w:tblStylePr>
  </w:style>
  <w:style w:type="table" w:styleId="83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43C03" w:themeFill="accent3" w:themeFillTint="fe"/>
      </w:tcPr>
    </w:tblStylePr>
  </w:style>
  <w:style w:type="table" w:styleId="83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DC33FA" w:themeFill="accent4" w:themeFillTint="9a"/>
      </w:tcPr>
    </w:tblStylePr>
  </w:style>
  <w:style w:type="table" w:styleId="84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C99C00" w:themeFill="accent5"/>
      </w:tcPr>
    </w:tblStylePr>
    <w:tblStylePr w:type="firstRow">
      <w:rPr>
        <w:color w:val="F2F2F2"/>
        <w:sz w:val="22"/>
      </w:rPr>
      <w:tblPr/>
      <w:tcPr>
        <w:shd w:val="clear" w:color="FFFFFF" w:fill="C99C00" w:themeFill="accent5"/>
      </w:tcPr>
    </w:tblStylePr>
    <w:tblStylePr w:type="lastCol">
      <w:rPr>
        <w:color w:val="F2F2F2"/>
        <w:sz w:val="22"/>
      </w:rPr>
      <w:tblPr/>
      <w:tcPr>
        <w:shd w:val="clear" w:color="FFFFFF" w:fill="C99C00" w:themeFill="accent5"/>
      </w:tcPr>
    </w:tblStylePr>
    <w:tblStylePr w:type="lastRow">
      <w:rPr>
        <w:color w:val="F2F2F2"/>
        <w:sz w:val="22"/>
      </w:rPr>
      <w:tblPr/>
      <w:tcPr>
        <w:shd w:val="clear" w:color="FFFFFF" w:fill="C99C00" w:themeFill="accent5"/>
      </w:tcPr>
    </w:tblStylePr>
  </w:style>
  <w:style w:type="table" w:styleId="84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C9211E" w:themeFill="accent6"/>
      </w:tcPr>
    </w:tblStylePr>
    <w:tblStylePr w:type="firstRow">
      <w:rPr>
        <w:color w:val="F2F2F2"/>
        <w:sz w:val="22"/>
      </w:rPr>
      <w:tblPr/>
      <w:tcPr>
        <w:shd w:val="clear" w:color="FFFFFF" w:fill="C9211E" w:themeFill="accent6"/>
      </w:tcPr>
    </w:tblStylePr>
    <w:tblStylePr w:type="lastCol">
      <w:rPr>
        <w:color w:val="F2F2F2"/>
        <w:sz w:val="22"/>
      </w:rPr>
      <w:tblPr/>
      <w:tcPr>
        <w:shd w:val="clear" w:color="FFFFFF" w:fill="C9211E" w:themeFill="accent6"/>
      </w:tcPr>
    </w:tblStylePr>
    <w:tblStylePr w:type="lastRow">
      <w:rPr>
        <w:color w:val="F2F2F2"/>
        <w:sz w:val="22"/>
      </w:rPr>
      <w:tblPr/>
      <w:tcPr>
        <w:shd w:val="clear" w:color="FFFFFF" w:fill="C9211E" w:themeFill="accent6"/>
      </w:tcPr>
    </w:tblStylePr>
  </w:style>
  <w:style w:type="table" w:styleId="84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84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EBE03" w:themeFill="accent1" w:themeFillTint="ea"/>
      </w:tcPr>
    </w:tblStylePr>
  </w:style>
  <w:style w:type="table" w:styleId="84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36B8FB" w:themeFill="accent2" w:themeFillTint="97"/>
      </w:tcPr>
    </w:tblStylePr>
  </w:style>
  <w:style w:type="table" w:styleId="84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43C03" w:themeFill="accent3" w:themeFillTint="fe"/>
      </w:tcPr>
    </w:tblStylePr>
  </w:style>
  <w:style w:type="table" w:styleId="84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DC33FA" w:themeFill="accent4" w:themeFillTint="9a"/>
      </w:tcPr>
    </w:tblStylePr>
  </w:style>
  <w:style w:type="table" w:styleId="84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C99C00" w:themeFill="accent5"/>
      </w:tcPr>
    </w:tblStylePr>
    <w:tblStylePr w:type="firstRow">
      <w:rPr>
        <w:color w:val="F2F2F2"/>
        <w:sz w:val="22"/>
      </w:rPr>
      <w:tblPr/>
      <w:tcPr>
        <w:shd w:val="clear" w:color="FFFFFF" w:fill="C99C00" w:themeFill="accent5"/>
      </w:tcPr>
    </w:tblStylePr>
    <w:tblStylePr w:type="lastCol">
      <w:rPr>
        <w:color w:val="F2F2F2"/>
        <w:sz w:val="22"/>
      </w:rPr>
      <w:tblPr/>
      <w:tcPr>
        <w:shd w:val="clear" w:color="FFFFFF" w:fill="C99C00" w:themeFill="accent5"/>
      </w:tcPr>
    </w:tblStylePr>
    <w:tblStylePr w:type="lastRow">
      <w:rPr>
        <w:color w:val="F2F2F2"/>
        <w:sz w:val="22"/>
      </w:rPr>
      <w:tblPr/>
      <w:tcPr>
        <w:shd w:val="clear" w:color="FFFFFF" w:fill="C99C00" w:themeFill="accent5"/>
      </w:tcPr>
    </w:tblStylePr>
  </w:style>
  <w:style w:type="table" w:styleId="84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C9211E" w:themeFill="accent6"/>
      </w:tcPr>
    </w:tblStylePr>
    <w:tblStylePr w:type="firstRow">
      <w:rPr>
        <w:color w:val="F2F2F2"/>
        <w:sz w:val="22"/>
      </w:rPr>
      <w:tblPr/>
      <w:tcPr>
        <w:shd w:val="clear" w:color="FFFFFF" w:fill="C9211E" w:themeFill="accent6"/>
      </w:tcPr>
    </w:tblStylePr>
    <w:tblStylePr w:type="lastCol">
      <w:rPr>
        <w:color w:val="F2F2F2"/>
        <w:sz w:val="22"/>
      </w:rPr>
      <w:tblPr/>
      <w:tcPr>
        <w:shd w:val="clear" w:color="FFFFFF" w:fill="C9211E" w:themeFill="accent6"/>
      </w:tcPr>
    </w:tblStylePr>
    <w:tblStylePr w:type="lastRow">
      <w:rPr>
        <w:color w:val="F2F2F2"/>
        <w:sz w:val="22"/>
      </w:rPr>
      <w:tblPr/>
      <w:tcPr>
        <w:shd w:val="clear" w:color="FFFFFF" w:fill="C9211E" w:themeFill="accent6"/>
      </w:tcPr>
    </w:tblStylePr>
  </w:style>
  <w:style w:type="table" w:styleId="849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50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52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53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54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55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56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LibreOffice/7.4.2.3$Linux_X86_64 LibreOffice_project/40$Build-3</Application>
  <AppVersion>15.0000</AppVersion>
  <Pages>1</Pages>
  <Words>202</Words>
  <Characters>1644</Characters>
  <CharactersWithSpaces>2691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2025-09-11T16:21:35Z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