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ИЗВЕЩЕНИЕ О ПРОВЕДЕНИИ АУКЦИОНА №255/2025-ГРО/11</w:t>
      </w:r>
    </w:p>
    <w:p>
      <w:pPr>
        <w:pStyle w:val="Style41"/>
        <w:widowControl/>
        <w:ind w:firstLine="567" w:left="-964"/>
        <w:rPr/>
      </w:pPr>
      <w:r>
        <w:rPr/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>
      <w:pPr>
        <w:pStyle w:val="Style41"/>
        <w:widowControl/>
        <w:ind w:firstLine="567" w:left="-964"/>
        <w:rPr>
          <w:rStyle w:val="FontStyle62"/>
          <w:sz w:val="24"/>
        </w:rPr>
      </w:pPr>
      <w:r>
        <w:rPr/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>
      <w:pPr>
        <w:pStyle w:val="Normal"/>
        <w:spacing w:lineRule="auto" w:line="240" w:before="0" w:after="0"/>
        <w:ind w:firstLine="567" w:left="-9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892"/>
        <w:tblW w:w="10774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3685"/>
        <w:gridCol w:w="6238"/>
      </w:tblGrid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Style41"/>
              <w:widowControl/>
              <w:spacing w:before="0" w:after="0"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  <w:kern w:val="0"/>
                <w:lang w:val="ru-RU" w:bidi="ar-SA"/>
              </w:rPr>
              <w:t>п/п</w:t>
            </w:r>
          </w:p>
        </w:tc>
        <w:tc>
          <w:tcPr>
            <w:tcW w:w="3685" w:type="dxa"/>
            <w:tcBorders/>
            <w:vAlign w:val="center"/>
          </w:tcPr>
          <w:p>
            <w:pPr>
              <w:pStyle w:val="Style41"/>
              <w:widowControl/>
              <w:spacing w:before="0" w:after="0"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  <w:kern w:val="0"/>
                <w:lang w:val="ru-RU" w:bidi="ar-SA"/>
              </w:rPr>
              <w:t>Наименование п/п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Style41"/>
              <w:widowControl/>
              <w:spacing w:before="0" w:after="0"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  <w:kern w:val="0"/>
                <w:lang w:val="ru-RU" w:bidi="ar-SA"/>
              </w:rPr>
              <w:t>Содержание п/п</w:t>
            </w:r>
          </w:p>
        </w:tc>
      </w:tr>
      <w:tr>
        <w:trPr/>
        <w:tc>
          <w:tcPr>
            <w:tcW w:w="10774" w:type="dxa"/>
            <w:gridSpan w:val="3"/>
            <w:tcBorders/>
            <w:vAlign w:val="center"/>
          </w:tcPr>
          <w:p>
            <w:pPr>
              <w:pStyle w:val="Style41"/>
              <w:widowControl/>
              <w:spacing w:before="0" w:after="0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1.Сведения об организаторе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kern w:val="0"/>
                <w:lang w:val="ru-RU" w:bidi="ar-SA"/>
              </w:rPr>
              <w:t xml:space="preserve">Организатор 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Публичное акционерное общество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«Газпром газораспределение Уфа»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Адрес местонахождения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1.3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color w:val="000000"/>
                <w:kern w:val="0"/>
                <w:lang w:val="ru-RU" w:bidi="ar-SA"/>
              </w:rPr>
              <w:t>Адрес сайта в сети Интернет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hyperlink r:id="rId2" w:tgtFrame="https://www.bashgaz.ru/">
              <w:r>
                <w:rPr>
                  <w:rStyle w:val="Hyperlink"/>
                  <w:kern w:val="0"/>
                  <w:lang w:val="ru-RU" w:bidi="ar-SA"/>
                </w:rPr>
                <w:t>https://www.bashgaz.ru/</w:t>
              </w:r>
            </w:hyperlink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1.4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color w:val="000000"/>
              </w:rPr>
            </w:pPr>
            <w:r>
              <w:rPr>
                <w:color w:val="000000"/>
                <w:kern w:val="0"/>
                <w:lang w:val="ru-RU" w:bidi="ar-SA"/>
              </w:rPr>
              <w:t>Номер телефона/факса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(</w:t>
            </w:r>
            <w:r>
              <w:rPr>
                <w:color w:val="000000"/>
                <w:kern w:val="0"/>
                <w:lang w:val="en-US" w:bidi="ar-SA"/>
              </w:rPr>
              <w:t>347</w:t>
            </w:r>
            <w:r>
              <w:rPr>
                <w:color w:val="000000"/>
                <w:kern w:val="0"/>
                <w:lang w:val="ru-RU" w:bidi="ar-SA"/>
              </w:rPr>
              <w:t>) 229-90-22</w:t>
            </w:r>
          </w:p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1.5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  <w:kern w:val="0"/>
                <w:lang w:val="ru-RU" w:bidi="ar-SA"/>
              </w:rPr>
              <w:t xml:space="preserve"> 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Амантаева Ралина Мирзовна</w:t>
            </w:r>
          </w:p>
          <w:p>
            <w:pPr>
              <w:pStyle w:val="Normal"/>
              <w:widowControl w:val="false"/>
              <w:spacing w:lineRule="auto" w:line="240" w:before="0" w:after="0"/>
              <w:ind w:right="-31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(347) 229-90-22, доб. 90327</w:t>
            </w:r>
          </w:p>
          <w:p>
            <w:pPr>
              <w:pStyle w:val="Style41"/>
              <w:widowControl/>
              <w:spacing w:before="0" w:after="0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Hyperlink"/>
                <w:kern w:val="0"/>
                <w:lang w:val="en-US" w:bidi="ar-SA"/>
              </w:rPr>
              <w:t>amantaeva.rm@bashgaz.ru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1.6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 xml:space="preserve">Контактное лицо по вопросам технических характеристик и предоставления ТС для </w:t>
            </w:r>
            <w:r>
              <w:rPr>
                <w:kern w:val="0"/>
                <w:lang w:val="ru-RU" w:bidi="ar-SA"/>
              </w:rPr>
              <w:t>осмотра,</w:t>
            </w:r>
            <w:r>
              <w:rPr>
                <w:rStyle w:val="Style1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Style w:val="FontStyle62"/>
                <w:kern w:val="0"/>
                <w:sz w:val="24"/>
                <w:lang w:val="ru-RU" w:bidi="ar-SA"/>
              </w:rPr>
              <w:t xml:space="preserve">телефон, электронная почта  </w:t>
            </w:r>
            <w:r>
              <w:rPr>
                <w:color w:val="000000"/>
                <w:kern w:val="0"/>
                <w:lang w:val="ru-RU" w:bidi="ar-SA"/>
              </w:rPr>
              <w:t xml:space="preserve"> </w:t>
            </w:r>
          </w:p>
        </w:tc>
        <w:tc>
          <w:tcPr>
            <w:tcW w:w="6238" w:type="dxa"/>
            <w:tcBorders/>
            <w:shd w:color="auto" w:fill="BFBFBF" w:themeFill="background1" w:themeFillShade="bf" w:val="clear"/>
          </w:tcPr>
          <w:p>
            <w:pPr>
              <w:pStyle w:val="Style41"/>
              <w:spacing w:before="0" w:after="0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kern w:val="0"/>
                <w:sz w:val="24"/>
                <w:szCs w:val="24"/>
                <w:lang w:val="ru-RU" w:bidi="ar-SA"/>
              </w:rPr>
              <w:t xml:space="preserve">Фахретдинов Эльдар Наилевич, </w:t>
            </w:r>
          </w:p>
          <w:p>
            <w:pPr>
              <w:pStyle w:val="Style41"/>
              <w:spacing w:before="0" w:after="0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kern w:val="0"/>
                <w:sz w:val="24"/>
                <w:szCs w:val="24"/>
                <w:lang w:val="ru-RU" w:bidi="ar-SA"/>
              </w:rPr>
              <w:t xml:space="preserve">8-937-480-85-00, </w:t>
            </w:r>
          </w:p>
          <w:p>
            <w:pPr>
              <w:pStyle w:val="Style41"/>
              <w:spacing w:before="0" w:after="0"/>
              <w:rPr>
                <w:rStyle w:val="FontStyle62"/>
                <w:sz w:val="24"/>
                <w:szCs w:val="24"/>
              </w:rPr>
            </w:pPr>
            <w:r>
              <w:rPr>
                <w:rStyle w:val="FontStyle62"/>
                <w:kern w:val="0"/>
                <w:sz w:val="24"/>
                <w:szCs w:val="24"/>
                <w:lang w:val="ru-RU" w:bidi="ar-SA"/>
              </w:rPr>
              <w:t>11Fakhretdinov.EN@bashgaz.ru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31"/>
              <w:jc w:val="left"/>
              <w:rPr>
                <w:rStyle w:val="Hyperlink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eastAsia="Times New Roman" w:cs="Times New Roman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 xml:space="preserve">2. Общие сведения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en-US" w:bidi="ar-SA"/>
              </w:rPr>
              <w:t>2</w:t>
            </w:r>
            <w:r>
              <w:rPr>
                <w:rStyle w:val="FontStyle62"/>
                <w:kern w:val="0"/>
                <w:sz w:val="24"/>
                <w:lang w:val="ru-RU" w:bidi="ar-SA"/>
              </w:rPr>
              <w:t>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kern w:val="0"/>
                <w:lang w:val="ru-RU" w:bidi="ar-SA"/>
              </w:rPr>
              <w:t>Предмет аукциона</w:t>
            </w:r>
          </w:p>
        </w:tc>
        <w:tc>
          <w:tcPr>
            <w:tcW w:w="6238" w:type="dxa"/>
            <w:tcBorders/>
            <w:shd w:color="auto" w:fill="BFBFBF" w:themeFill="background1" w:themeFillShade="bf" w:val="clear"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Грузовой с бортовой платформой ГАЗ-33023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bCs/>
                <w:color w:val="000000"/>
                <w:kern w:val="0"/>
                <w:lang w:val="ru-RU" w:eastAsia="ru-RU" w:bidi="ar-SA"/>
              </w:rPr>
              <w:t>Место нахождения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452750, Российская Федерация, Республика Башкортостан, г. Туймазы, ул.Гафурова 31а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2.3</w:t>
            </w:r>
          </w:p>
        </w:tc>
        <w:tc>
          <w:tcPr>
            <w:tcW w:w="992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Характеристика предмета: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tbl>
            <w:tblPr>
              <w:tblW w:w="10632" w:type="dxa"/>
              <w:jc w:val="left"/>
              <w:tblInd w:w="0" w:type="dxa"/>
              <w:tblLayout w:type="fixed"/>
              <w:tblCellMar>
                <w:top w:w="0" w:type="dxa"/>
                <w:left w:w="5" w:type="dxa"/>
                <w:bottom w:w="0" w:type="dxa"/>
                <w:right w:w="5" w:type="dxa"/>
              </w:tblCellMar>
              <w:tblLook w:val="04a0" w:noHBand="0" w:noVBand="1" w:firstColumn="1" w:lastRow="0" w:lastColumn="0" w:firstRow="1"/>
            </w:tblPr>
            <w:tblGrid>
              <w:gridCol w:w="5104"/>
              <w:gridCol w:w="5527"/>
            </w:tblGrid>
            <w:tr>
              <w:trPr>
                <w:trHeight w:val="43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Heading3"/>
                    <w:numPr>
                      <w:ilvl w:val="0"/>
                      <w:numId w:val="0"/>
                    </w:numPr>
                    <w:ind w:hanging="0" w:left="0" w:right="0"/>
                    <w:jc w:val="center"/>
                    <w:rPr/>
                  </w:pPr>
                  <w:r>
                    <w:rPr>
                      <w:sz w:val="24"/>
                      <w:szCs w:val="24"/>
                    </w:rPr>
                    <w:t xml:space="preserve">Марка, модель ТС 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Heading4"/>
                    <w:numPr>
                      <w:ilvl w:val="0"/>
                      <w:numId w:val="0"/>
                    </w:numPr>
                    <w:ind w:hanging="0" w:left="0" w:right="0"/>
                    <w:jc w:val="center"/>
                    <w:rPr/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ГАЗ - 33023</w:t>
                  </w:r>
                </w:p>
              </w:tc>
            </w:tr>
            <w:tr>
              <w:trPr>
                <w:trHeight w:val="43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Heading5"/>
                    <w:numPr>
                      <w:ilvl w:val="4"/>
                      <w:numId w:val="1"/>
                    </w:numPr>
                    <w:ind w:hanging="0" w:left="0" w:right="0"/>
                    <w:jc w:val="center"/>
                    <w:rPr/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Регистрационный номер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Heading4"/>
                    <w:numPr>
                      <w:ilvl w:val="3"/>
                      <w:numId w:val="1"/>
                    </w:numPr>
                    <w:ind w:hanging="0" w:left="0" w:right="0"/>
                    <w:jc w:val="center"/>
                    <w:rPr/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М404КЕ</w:t>
                  </w:r>
                </w:p>
              </w:tc>
            </w:tr>
            <w:tr>
              <w:trPr>
                <w:trHeight w:val="43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Heading5"/>
                    <w:numPr>
                      <w:ilvl w:val="4"/>
                      <w:numId w:val="1"/>
                    </w:numPr>
                    <w:ind w:hanging="0" w:left="0" w:right="0"/>
                    <w:jc w:val="center"/>
                    <w:rPr/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Инвентарный номер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Style21"/>
                    <w:jc w:val="center"/>
                    <w:rPr/>
                  </w:pPr>
                  <w:r>
                    <w:rPr>
                      <w:i/>
                      <w:iCs/>
                      <w:sz w:val="24"/>
                      <w:szCs w:val="24"/>
                    </w:rPr>
                    <w:t>11-7422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/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>
                    <w:rPr>
                      <w:sz w:val="24"/>
                      <w:szCs w:val="24"/>
                    </w:rPr>
                    <w:t>Идентификационный номер (VIN)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Heading4"/>
                    <w:numPr>
                      <w:ilvl w:val="3"/>
                      <w:numId w:val="1"/>
                    </w:numPr>
                    <w:ind w:hanging="0" w:left="0" w:right="0"/>
                    <w:jc w:val="center"/>
                    <w:rPr/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Х9633023090665466</w:t>
                  </w:r>
                </w:p>
              </w:tc>
            </w:tr>
            <w:tr>
              <w:trPr>
                <w:trHeight w:val="341" w:hRule="atLeast"/>
                <w:cantSplit w:val="true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/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>
                    <w:rPr>
                      <w:sz w:val="24"/>
                      <w:szCs w:val="24"/>
                    </w:rPr>
                    <w:t>Год выпуска ТС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/>
                  </w:pPr>
                  <w:r>
                    <w:rPr>
                      <w:i/>
                      <w:iCs/>
                      <w:sz w:val="24"/>
                      <w:szCs w:val="24"/>
                    </w:rPr>
                    <w:t>2009</w:t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/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>
                    <w:rPr>
                      <w:sz w:val="24"/>
                      <w:szCs w:val="24"/>
                    </w:rPr>
                    <w:t>Модель, № двигателя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/>
                  </w:pPr>
                  <w:r>
                    <w:rPr>
                      <w:i/>
                      <w:iCs/>
                      <w:sz w:val="24"/>
                      <w:szCs w:val="24"/>
                    </w:rPr>
                    <w:t>*421600*90801896*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/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>
                    <w:rPr>
                      <w:sz w:val="24"/>
                      <w:szCs w:val="24"/>
                    </w:rPr>
                    <w:t>Шасси, (рама) №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/>
                  </w:pPr>
                  <w:r>
                    <w:rPr>
                      <w:i/>
                      <w:iCs/>
                      <w:sz w:val="24"/>
                      <w:szCs w:val="24"/>
                    </w:rPr>
                    <w:t>Отсутствует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/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>
                    <w:rPr>
                      <w:sz w:val="24"/>
                      <w:szCs w:val="24"/>
                    </w:rPr>
                    <w:t>Кузов, (прицеп) №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/>
                  </w:pPr>
                  <w:r>
                    <w:rPr>
                      <w:i/>
                      <w:iCs/>
                      <w:sz w:val="24"/>
                      <w:szCs w:val="24"/>
                    </w:rPr>
                    <w:t>33023090116134</w:t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/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>
                    <w:rPr>
                      <w:sz w:val="24"/>
                      <w:szCs w:val="24"/>
                    </w:rPr>
                    <w:t>Цвет кузова (кабины)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/>
                  </w:pPr>
                  <w:r>
                    <w:rPr>
                      <w:i/>
                      <w:iCs/>
                      <w:sz w:val="24"/>
                      <w:szCs w:val="24"/>
                    </w:rPr>
                    <w:t>Белый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spacing w:before="0" w:after="160"/>
                    <w:jc w:val="center"/>
                    <w:rPr/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>
                    <w:rPr>
                      <w:sz w:val="24"/>
                      <w:szCs w:val="24"/>
                    </w:rPr>
                    <w:t>Паспорт транспортного средства (ПТС)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Heading4"/>
                    <w:numPr>
                      <w:ilvl w:val="3"/>
                      <w:numId w:val="1"/>
                    </w:numPr>
                    <w:ind w:hanging="0" w:left="0" w:right="0"/>
                    <w:jc w:val="center"/>
                    <w:rPr/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52 МТ 961838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Heading6"/>
                    <w:numPr>
                      <w:ilvl w:val="5"/>
                      <w:numId w:val="1"/>
                    </w:numPr>
                    <w:ind w:hanging="0" w:right="0"/>
                    <w:jc w:val="center"/>
                    <w:rPr/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Heading4"/>
                    <w:numPr>
                      <w:ilvl w:val="3"/>
                      <w:numId w:val="1"/>
                    </w:numPr>
                    <w:ind w:hanging="0" w:left="0" w:right="0"/>
                    <w:jc w:val="center"/>
                    <w:rPr/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99 16 321289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Heading6"/>
                    <w:numPr>
                      <w:ilvl w:val="5"/>
                      <w:numId w:val="1"/>
                    </w:numPr>
                    <w:ind w:hanging="0" w:right="0"/>
                    <w:jc w:val="center"/>
                    <w:rPr/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Балансовая стоимость, руб.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21"/>
                    <w:jc w:val="center"/>
                    <w:rPr/>
                  </w:pPr>
                  <w:r>
                    <w:rPr>
                      <w:color w:val="003F2F"/>
                    </w:rPr>
                    <w:t>359198,73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1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Heading6"/>
                    <w:numPr>
                      <w:ilvl w:val="5"/>
                      <w:numId w:val="1"/>
                    </w:numPr>
                    <w:ind w:hanging="0" w:right="0"/>
                    <w:jc w:val="center"/>
                    <w:rPr/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Остаточная стоимость, руб.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21"/>
                    <w:jc w:val="center"/>
                    <w:rPr/>
                  </w:pPr>
                  <w:r>
                    <w:rPr>
                      <w:color w:val="003F2F"/>
                    </w:rPr>
                    <w:t>17418,03</w:t>
                  </w:r>
                </w:p>
              </w:tc>
            </w:tr>
            <w:tr>
              <w:trPr>
                <w:trHeight w:val="315" w:hRule="atLeast"/>
              </w:trPr>
              <w:tc>
                <w:tcPr>
                  <w:tcW w:w="5104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Heading6"/>
                    <w:numPr>
                      <w:ilvl w:val="5"/>
                      <w:numId w:val="1"/>
                    </w:numPr>
                    <w:shd w:val="clear" w:color="auto" w:fill="FFFFFF"/>
                    <w:ind w:hanging="0" w:right="0"/>
                    <w:jc w:val="center"/>
                    <w:rPr/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  <w:shd w:fill="FFFFFF" w:val="clear"/>
                    </w:rPr>
                    <w:t>Пробег (показание одометра) км.</w:t>
                  </w:r>
                </w:p>
              </w:tc>
              <w:tc>
                <w:tcPr>
                  <w:tcW w:w="55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Heading4"/>
                    <w:numPr>
                      <w:ilvl w:val="3"/>
                      <w:numId w:val="1"/>
                    </w:numPr>
                    <w:ind w:hanging="0" w:left="0" w:right="0"/>
                    <w:jc w:val="center"/>
                    <w:rPr/>
                  </w:pPr>
                  <w:r>
                    <w:rPr>
                      <w:rFonts w:cs="Times New Roman" w:ascii="Times New Roman" w:hAnsi="Times New Roman"/>
                      <w:color w:val="000000"/>
                      <w:sz w:val="24"/>
                      <w:szCs w:val="24"/>
                    </w:rPr>
                    <w:t>439408</w:t>
                  </w:r>
                </w:p>
              </w:tc>
            </w:tr>
          </w:tbl>
          <w:p>
            <w:pPr>
              <w:pStyle w:val="Normal"/>
              <w:spacing w:before="0" w:after="160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2.4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Начальная (минимальная) цена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предмета договора (лота)</w:t>
            </w:r>
          </w:p>
        </w:tc>
        <w:tc>
          <w:tcPr>
            <w:tcW w:w="6238" w:type="dxa"/>
            <w:tcBorders/>
            <w:shd w:color="auto" w:fill="BFBFBF" w:themeFill="background1" w:themeFillShade="bf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>333 440,00 руб. в т.ч. НДС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2.5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Внесение задатка</w:t>
            </w:r>
          </w:p>
        </w:tc>
        <w:tc>
          <w:tcPr>
            <w:tcW w:w="6238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Предусмотрено</w:t>
            </w:r>
          </w:p>
        </w:tc>
      </w:tr>
      <w:tr>
        <w:trPr>
          <w:trHeight w:val="276" w:hRule="atLeast"/>
        </w:trPr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2.5.1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Размер задатка</w:t>
            </w:r>
          </w:p>
        </w:tc>
        <w:tc>
          <w:tcPr>
            <w:tcW w:w="6238" w:type="dxa"/>
            <w:tcBorders/>
            <w:shd w:color="FFFFFF" w:fill="BFBFBF" w:themeFill="background1" w:themeFillShade="bf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5% от начальной (минимальной) цены лота</w:t>
            </w:r>
          </w:p>
        </w:tc>
      </w:tr>
      <w:tr>
        <w:trPr/>
        <w:tc>
          <w:tcPr>
            <w:tcW w:w="10774" w:type="dxa"/>
            <w:gridSpan w:val="3"/>
            <w:tcBorders/>
            <w:shd w:color="auto" w:fill="auto" w:val="clear"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b/>
                <w:kern w:val="0"/>
                <w:lang w:val="ru-RU" w:bidi="ar-SA"/>
              </w:rPr>
              <w:t>3. Место и дата подачи заявок, рассмотрения Заявок, подведения итогов закупки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kern w:val="0"/>
                <w:lang w:val="ru-RU" w:bidi="ar-SA"/>
              </w:rPr>
              <w:t>Дата начала подачи заявок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eastAsia="Times New Roman" w:cs="Times New Roman" w:ascii="Arial" w:hAnsi="Arial"/>
                <w:b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Место подачи заявок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в форме электронных документов через сайт Организатора </w:t>
            </w:r>
            <w:hyperlink r:id="rId3" w:tgtFrame="https://www.bashgaz.ru/">
              <w:r>
                <w:rPr>
                  <w:rStyle w:val="Hyperlink"/>
                  <w:kern w:val="0"/>
                  <w:lang w:val="ru-RU" w:bidi="ar-SA"/>
                </w:rPr>
                <w:t>https://www.bashgaz.ru/</w:t>
              </w:r>
            </w:hyperlink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3.3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b/>
                <w:sz w:val="24"/>
              </w:rPr>
            </w:pPr>
            <w:r>
              <w:rPr>
                <w:kern w:val="0"/>
                <w:lang w:val="ru-RU" w:bidi="ar-SA"/>
              </w:rPr>
              <w:t>Дата окончания подачи заявок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08.12.2025</w:t>
            </w: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в 11ч.00</w:t>
            </w:r>
            <w:bookmarkStart w:id="0" w:name="_GoBack"/>
            <w:bookmarkEnd w:id="0"/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мин. </w:t>
            </w:r>
          </w:p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(местн. вр. заказчика)</w:t>
            </w:r>
          </w:p>
        </w:tc>
      </w:tr>
      <w:tr>
        <w:trPr>
          <w:trHeight w:val="623" w:hRule="atLeast"/>
        </w:trPr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3.4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Дата рассмотрения заявок 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10.12.2025</w:t>
            </w: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в 16ч.00 мин. </w:t>
            </w:r>
          </w:p>
          <w:p>
            <w:pPr>
              <w:pStyle w:val="NoSpacing"/>
              <w:spacing w:before="0" w:after="0"/>
              <w:jc w:val="left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(местн. вр. заказчика)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3.5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Дата проведения аукциона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11.12.2025</w:t>
            </w: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в 11ч.30 мин. </w:t>
            </w:r>
          </w:p>
          <w:p>
            <w:pPr>
              <w:pStyle w:val="NoSpacing"/>
              <w:spacing w:before="0" w:after="0"/>
              <w:jc w:val="left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(местн. вр. заказчика)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3.6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Дата подведения итогов 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Spacing"/>
              <w:spacing w:before="0" w:after="0"/>
              <w:jc w:val="left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  <w:kern w:val="0"/>
                <w:lang w:val="ru-RU" w:bidi="ar-SA"/>
              </w:rPr>
              <w:t>19.12.2025</w:t>
            </w:r>
            <w:r>
              <w:rPr>
                <w:rStyle w:val="FontStyle62"/>
                <w:b/>
                <w:kern w:val="0"/>
                <w:sz w:val="24"/>
                <w:lang w:val="ru-RU" w:bidi="ar-SA"/>
              </w:rPr>
              <w:t xml:space="preserve"> в 16ч.00 мин. </w:t>
            </w:r>
          </w:p>
          <w:p>
            <w:pPr>
              <w:pStyle w:val="NoSpacing"/>
              <w:spacing w:before="0" w:after="0"/>
              <w:jc w:val="left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(местн. вр. заказчика)</w:t>
            </w:r>
          </w:p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Претендент вправе подать только одну заявку в отношении предмета аукциона.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Претендент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4.1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>Форма заявки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В соответствии с Приложением №1 к настоящему Извещению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4.2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kern w:val="0"/>
                <w:lang w:val="ru-RU" w:eastAsia="ru-RU" w:bidi="ar-SA"/>
              </w:rPr>
              <w:t>Срок действия заявки</w:t>
            </w:r>
          </w:p>
        </w:tc>
        <w:tc>
          <w:tcPr>
            <w:tcW w:w="6238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не менее 90 календарных дней со дня, следующего за днем проведения аукциона.</w:t>
            </w:r>
          </w:p>
          <w:p>
            <w:pPr>
              <w:pStyle w:val="Style41"/>
              <w:widowControl/>
              <w:spacing w:before="0" w:after="0"/>
              <w:rPr>
                <w:lang w:eastAsia="ru-RU"/>
              </w:rPr>
            </w:pPr>
            <w:r>
              <w:rPr>
                <w:kern w:val="0"/>
                <w:lang w:val="ru-RU" w:bidi="ar-SA"/>
              </w:rPr>
              <w:t>Претендент вправе добровольно увеличить срок действия заявки, указав информацию об этом в заявке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4.3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Состав заявки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 Заявка на участие в аукционе (Приложение №1 к настоящему извещению)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2. Документы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2.1 д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ля юридического лица: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Устав; 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Свидетельство о регистрации юридического лица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>- сканированную копию документа, подтверждающего полномочия руководителя;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 с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Федеральным Законом от 27.07.2006 №152-ФЗ «О персональных данных»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2.2 для индивидуального предпринимателя: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свидетельство о регистрации в качестве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индивидуального предпринимателя;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сканированные копии документов, удостоверяющих личность;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 с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Федеральным Законом от 27.07.2006 №152-ФЗ «О персональных данных»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(Приложение №3 к настоящему Извещению).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2.3 для физического лица: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сканированные копии документов, удостоверяющих личность;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копия ИНН;</w:t>
            </w:r>
          </w:p>
          <w:p>
            <w:pPr>
              <w:pStyle w:val="Normal"/>
              <w:widowControl/>
              <w:spacing w:lineRule="auto" w:line="240" w:before="0" w:after="0"/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- с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 К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опию платежного документа, подтверждающего внесение задатка на расчетный счет организатора.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ru-RU" w:bidi="ar-SA"/>
              </w:rPr>
              <w:t>ВСЕ ДОКУМЕНТЫ АРХИВИРУЮТСЯ В ОДИН ФАЙЛ И ПРИКЛАДЫВАЮТСЯ В СОСТАВЕ ЗАЯВКИ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4.4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Внесение задатка</w:t>
            </w:r>
          </w:p>
        </w:tc>
        <w:tc>
          <w:tcPr>
            <w:tcW w:w="6238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eastAsia="Times New Roman" w:cs="Arial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Реквизиты для перечисления задатка: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ИНН 0278030985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КПП 027601001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р/с 40702810409240000002 в Нижегородском филиале АБ «РОССИЯ»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к/с 30101810300000000876 в Волго-Вятском ГУ Банка России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БИК 042202876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 xml:space="preserve">Получатель: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ПАО «Газпром газораспределение Уфа».</w:t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В наименовании платежа указывается: «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4"/>
                <w:szCs w:val="24"/>
                <w:u w:val="single"/>
                <w:lang w:val="ru-RU" w:eastAsia="ru-RU" w:bidi="ar-SA"/>
              </w:rPr>
              <w:t>предмет___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».</w:t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>
            <w:pPr>
              <w:pStyle w:val="ListParagraph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>
            <w:pPr>
              <w:pStyle w:val="Docdata"/>
              <w:widowControl/>
              <w:spacing w:beforeAutospacing="0" w:before="0" w:afterAutospacing="0" w:after="16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  <w:kern w:val="0"/>
                <w:lang w:val="ru-RU" w:bidi="ar-SA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Заявление направляется по адресу электронной почты: </w:t>
            </w:r>
            <w:hyperlink r:id="rId4" w:tgtFrame="mailto:ishmiyarova.yu@bashgaz.ru,">
              <w:r>
                <w:rPr>
                  <w:rStyle w:val="Hyperlink"/>
                  <w:rFonts w:eastAsia="Times New Roman" w:ascii="Times New Roman" w:hAnsi="Times New Roman"/>
                  <w:kern w:val="0"/>
                  <w:sz w:val="24"/>
                  <w:szCs w:val="24"/>
                  <w:lang w:val="en-US" w:eastAsia="ru-RU" w:bidi="ar-SA"/>
                </w:rPr>
                <w:t>ishmiyarova.yu@bashgaz.ru,</w:t>
              </w:r>
            </w:hyperlink>
            <w:r>
              <w:rPr>
                <w:rStyle w:val="Hyperlink"/>
                <w:rFonts w:eastAsia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hyperlink r:id="rId5" w:tgtFrame="Click to mail amantaeva.rm@bashgaz.ru">
              <w:r>
                <w:rPr>
                  <w:rStyle w:val="Hyperlink"/>
                  <w:rFonts w:eastAsia="Times New Roman" w:cs="Times New Roman" w:ascii="Times New Roman" w:hAnsi="Times New Roman"/>
                  <w:color w:val="0000EE"/>
                  <w:kern w:val="0"/>
                  <w:sz w:val="24"/>
                  <w:szCs w:val="20"/>
                  <w:u w:val="single"/>
                  <w:lang w:val="ru-RU" w:eastAsia="ru-RU" w:bidi="ar-SA"/>
                </w:rPr>
                <w:t>amantaeva.rm@bashgaz.ru</w:t>
              </w:r>
            </w:hyperlink>
          </w:p>
          <w:p>
            <w:pPr>
              <w:pStyle w:val="ListParagraph"/>
              <w:widowControl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>
            <w:pPr>
              <w:pStyle w:val="ListParagraph"/>
              <w:widowControl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5. Разъяснения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5.1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 xml:space="preserve">Дата начала срока предоставления разъяснений 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с момента размещения на сайте извещения о проведении аукциона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5.2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 xml:space="preserve">Порядок направления запроса о разъяснении 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5.3</w:t>
            </w:r>
          </w:p>
        </w:tc>
        <w:tc>
          <w:tcPr>
            <w:tcW w:w="3685" w:type="dxa"/>
            <w:tcBorders/>
            <w:shd w:color="auto" w:fill="auto" w:val="clear"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>Осмотр имущества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Осмотр может быть осуществлен при условии: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направления запроса Претендентом на проведение осмотра (Приложение №2 к настоящему Извещению);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–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5.4</w:t>
            </w:r>
          </w:p>
        </w:tc>
        <w:tc>
          <w:tcPr>
            <w:tcW w:w="3685" w:type="dxa"/>
            <w:tcBorders/>
            <w:shd w:color="auto" w:fill="auto" w:val="clear"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>Порядок осмотра имущества</w:t>
            </w:r>
          </w:p>
        </w:tc>
        <w:tc>
          <w:tcPr>
            <w:tcW w:w="623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Осмотр обеспечивает Организатор без взимания платы.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6. Рассмотрение заявок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6.1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  <w:t>Основания для отказа в допуске к участию в аукционе</w:t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  <w:p>
            <w:pPr>
              <w:pStyle w:val="Style41"/>
              <w:widowControl/>
              <w:spacing w:before="0" w:after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kern w:val="0"/>
                <w:lang w:val="ru-RU" w:eastAsia="ru-RU" w:bidi="ar-SA"/>
              </w:rPr>
            </w:r>
          </w:p>
        </w:tc>
        <w:tc>
          <w:tcPr>
            <w:tcW w:w="6238" w:type="dxa"/>
            <w:tcBorders/>
          </w:tcPr>
          <w:p>
            <w:pPr>
              <w:pStyle w:val="Default"/>
              <w:widowControl/>
              <w:spacing w:before="0" w:after="0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Претендент не допускается к участию в аукционе в следующих случаях: </w:t>
            </w:r>
          </w:p>
          <w:p>
            <w:pPr>
              <w:pStyle w:val="Default"/>
              <w:widowControl/>
              <w:spacing w:before="0" w:after="0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- заявка подана лицом, не уполномоченным Претендентом на осуществление таких действий; </w:t>
            </w:r>
          </w:p>
          <w:p>
            <w:pPr>
              <w:pStyle w:val="Default"/>
              <w:widowControl/>
              <w:spacing w:before="0" w:after="0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- представлены не все документы по перечню, указанному в Извещении;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участником представлены недостоверные сведения.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12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7. Проведение аукциона</w:t>
            </w:r>
          </w:p>
        </w:tc>
      </w:tr>
      <w:tr>
        <w:trPr>
          <w:trHeight w:val="6988" w:hRule="atLeast"/>
        </w:trPr>
        <w:tc>
          <w:tcPr>
            <w:tcW w:w="4536" w:type="dxa"/>
            <w:gridSpan w:val="2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 xml:space="preserve">7.1 </w:t>
            </w:r>
            <w:r>
              <w:rPr>
                <w:rFonts w:eastAsia="Calibri"/>
                <w:bCs/>
                <w:kern w:val="0"/>
                <w:lang w:val="ru-RU" w:eastAsia="ru-RU" w:bidi="ar-SA"/>
              </w:rPr>
              <w:t>Порядок и правила участия в аукционе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>
        <w:trPr>
          <w:trHeight w:val="554" w:hRule="atLeast"/>
        </w:trPr>
        <w:tc>
          <w:tcPr>
            <w:tcW w:w="4536" w:type="dxa"/>
            <w:gridSpan w:val="2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7.2 Шаг аукциона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 0,5% до 5% от начальной (минимальной) цены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12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8. Подведение итогов аукциона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themeColor="text1" w:val="000000"/>
                <w:kern w:val="0"/>
                <w:sz w:val="24"/>
                <w:szCs w:val="24"/>
                <w:lang w:val="ru-RU" w:eastAsia="ru-RU" w:bidi="ar-SA"/>
              </w:rPr>
              <w:t>9. Заключение договора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eastAsia="Times New Roman" w:cs="Times New Roman" w:ascii="Arial" w:hAnsi="Arial"/>
                <w:kern w:val="0"/>
                <w:sz w:val="24"/>
                <w:szCs w:val="24"/>
                <w:lang w:val="ru-RU" w:eastAsia="ru-RU" w:bidi="ar-SA"/>
              </w:rPr>
              <w:t>9.1</w:t>
            </w:r>
          </w:p>
        </w:tc>
        <w:tc>
          <w:tcPr>
            <w:tcW w:w="36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Цена договора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9.2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Срок заключения договора</w:t>
            </w:r>
          </w:p>
        </w:tc>
        <w:tc>
          <w:tcPr>
            <w:tcW w:w="6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течение 20 дней с даты оформления Протокола подведения итогов аукциона</w:t>
            </w:r>
          </w:p>
        </w:tc>
      </w:tr>
      <w:tr>
        <w:trPr/>
        <w:tc>
          <w:tcPr>
            <w:tcW w:w="851" w:type="dxa"/>
            <w:tcBorders/>
          </w:tcPr>
          <w:p>
            <w:pPr>
              <w:pStyle w:val="Style41"/>
              <w:widowControl/>
              <w:spacing w:before="0" w:after="0"/>
              <w:rPr>
                <w:rStyle w:val="FontStyle62"/>
                <w:sz w:val="24"/>
              </w:rPr>
            </w:pPr>
            <w:r>
              <w:rPr>
                <w:rStyle w:val="FontStyle62"/>
                <w:kern w:val="0"/>
                <w:sz w:val="24"/>
                <w:lang w:val="ru-RU" w:bidi="ar-SA"/>
              </w:rPr>
              <w:t>9.3</w:t>
            </w:r>
          </w:p>
        </w:tc>
        <w:tc>
          <w:tcPr>
            <w:tcW w:w="3685" w:type="dxa"/>
            <w:tcBorders/>
          </w:tcPr>
          <w:p>
            <w:pPr>
              <w:pStyle w:val="Style41"/>
              <w:widowControl/>
              <w:spacing w:before="0" w:after="0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Оплата имущества Победителем</w:t>
            </w:r>
          </w:p>
        </w:tc>
        <w:tc>
          <w:tcPr>
            <w:tcW w:w="6238" w:type="dxa"/>
            <w:tcBorders/>
          </w:tcPr>
          <w:p>
            <w:pPr>
              <w:pStyle w:val="Default"/>
              <w:widowControl/>
              <w:spacing w:before="0" w:after="0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>
        <w:trPr/>
        <w:tc>
          <w:tcPr>
            <w:tcW w:w="10774" w:type="dxa"/>
            <w:gridSpan w:val="3"/>
            <w:tcBorders/>
          </w:tcPr>
          <w:p>
            <w:pPr>
              <w:pStyle w:val="Default"/>
              <w:widowControl/>
              <w:spacing w:before="0" w:after="0"/>
              <w:ind w:firstLine="567"/>
              <w:jc w:val="both"/>
              <w:rPr>
                <w:rFonts w:eastAsia="Times New Roman"/>
                <w:kern w:val="0"/>
                <w:lang w:val="ru-RU" w:eastAsia="ru-RU" w:bidi="ar-SA"/>
              </w:rPr>
            </w:pPr>
            <w:r>
              <w:rPr>
                <w:rFonts w:eastAsia="Times New Roman"/>
                <w:kern w:val="0"/>
                <w:lang w:val="ru-RU" w:eastAsia="ru-RU" w:bidi="ar-SA"/>
              </w:rP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>
            <w:pPr>
              <w:pStyle w:val="Normal"/>
              <w:widowControl/>
              <w:spacing w:lineRule="auto" w:line="240" w:before="0"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Приложение 1 к Извещению о проведении аукциона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>
          <w:trHeight w:val="1074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ЗАЯВКА НА УЧАСТИЕ В АУКЦИОНЕ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tabs>
          <w:tab w:val="clear" w:pos="708"/>
          <w:tab w:val="left" w:pos="503" w:leader="none"/>
        </w:tabs>
        <w:spacing w:lineRule="auto" w:line="240" w:before="19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eastAsia="Times New Roman" w:cs="Times New Roman" w:ascii="Times New Roman" w:hAnsi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>
      <w:pPr>
        <w:pStyle w:val="Normal"/>
        <w:spacing w:lineRule="auto" w:line="240" w:before="0" w:after="0"/>
        <w:ind w:right="1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>
      <w:pPr>
        <w:pStyle w:val="Normal"/>
        <w:spacing w:lineRule="auto" w:line="240" w:before="0" w:after="0"/>
        <w:ind w:right="1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>
      <w:pPr>
        <w:pStyle w:val="Normal"/>
        <w:spacing w:lineRule="auto" w:line="240" w:before="0" w:after="0"/>
        <w:ind w:right="1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>
      <w:pPr>
        <w:pStyle w:val="Normal"/>
        <w:spacing w:lineRule="auto" w:line="240" w:before="19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0"/>
        <w:gridCol w:w="5664"/>
      </w:tblGrid>
      <w:tr>
        <w:trPr>
          <w:trHeight w:val="722" w:hRule="atLeast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Style w:val="FootnoteReference"/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19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Style w:val="FootnoteReference"/>
                <w:rFonts w:eastAsia="Times New Roman" w:cs="Times New Roman"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cs="Times New Roman" w:ascii="Times New Roman" w:hAnsi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FootnoteReference"/>
          <w:rFonts w:eastAsia="Times New Roman" w:ascii="Times New Roman" w:hAnsi="Times New Roman"/>
          <w:color w:val="000000"/>
          <w:sz w:val="24"/>
          <w:szCs w:val="24"/>
          <w:lang w:eastAsia="ru-RU"/>
        </w:rPr>
        <w:footnoteReference w:id="4"/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_______________________.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Приложения к заявке: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                  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(для юридического лица – должность, подпись                                       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                           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для физического лица, ИП – подпись)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Дата 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Время 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vertAlign w:val="superscript"/>
          <w:lang w:eastAsia="ru-RU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2 к Извещению о проведении аукциона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Форма заявления об ознакомлении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892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>
          <w:trHeight w:val="1074" w:hRule="atLeast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Лукманову А.Р.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ЗАЯВЛЕНИЕ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 ОЗНАКОМЛЕНИИ С ПРЕДМЕТОМ АУКЦИОНА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(предмет аукциона в соответствии с Извещением)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Заявитель: __________________________________        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>(для юридического лица – должность, подпись                                        (ФИО)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</w:t>
      </w:r>
      <w:r>
        <w:rPr>
          <w:rFonts w:cs="Times New Roman" w:ascii="Times New Roman" w:hAnsi="Times New Roman"/>
          <w:sz w:val="24"/>
          <w:szCs w:val="24"/>
        </w:rPr>
        <w:t>для физического лица, ИП – подпись)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Время 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footnotePr>
            <w:numFmt w:val="decimal"/>
          </w:footnote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3 к Извещению о проведении аукциона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на обработку персональных данных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ФИЗИЧЕСКОГО ЛИЦА НА ОБРАБОТКУ СВОИХ ПЕРСОНАЛЬНЫХ ДАННЫХ</w:t>
      </w:r>
    </w:p>
    <w:p>
      <w:pPr>
        <w:pStyle w:val="Normal"/>
        <w:tabs>
          <w:tab w:val="clear" w:pos="708"/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Я, __________________________________________________________________________________,</w:t>
      </w:r>
    </w:p>
    <w:p>
      <w:pPr>
        <w:pStyle w:val="Normal"/>
        <w:spacing w:before="0" w:after="16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проживающий по адресу: ______________________________________________________________,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паспорт серии ___________ № ____________, выдан _______________________________________</w:t>
      </w:r>
    </w:p>
    <w:p>
      <w:pPr>
        <w:pStyle w:val="Normal"/>
        <w:spacing w:before="0" w:after="16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(орган, выдавший паспорт / дата выдачи)</w:t>
      </w:r>
    </w:p>
    <w:p>
      <w:pPr>
        <w:pStyle w:val="Normal"/>
        <w:widowControl w:val="false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464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4"/>
      </w:tblGrid>
      <w:tr>
        <w:trPr/>
        <w:tc>
          <w:tcPr>
            <w:tcW w:w="4644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</w:t>
            </w:r>
          </w:p>
          <w:p>
            <w:pPr>
              <w:pStyle w:val="Normal"/>
              <w:tabs>
                <w:tab w:val="clear" w:pos="708"/>
                <w:tab w:val="left" w:pos="34" w:leader="none"/>
              </w:tabs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>
        <w:trPr/>
        <w:tc>
          <w:tcPr>
            <w:tcW w:w="4644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tabs>
                <w:tab w:val="clear" w:pos="708"/>
                <w:tab w:val="left" w:pos="4428" w:leader="none"/>
              </w:tabs>
              <w:spacing w:before="0" w:after="16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4 к Извещению о проведении аукциона</w:t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 на обработку персональных данных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892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>
          <w:trHeight w:val="1074" w:hRule="atLeast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ПАО «Газпром газораспределение Уфа»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 О ВОЗВРАТЕ ЗАДАТКА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892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8"/>
        <w:gridCol w:w="5096"/>
      </w:tblGrid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Получатель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Счет получателя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Наименование банка получателя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Корреспондентский счет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БИК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КПП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424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ИНН</w:t>
            </w:r>
          </w:p>
        </w:tc>
        <w:tc>
          <w:tcPr>
            <w:tcW w:w="50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FootnoteReference"/>
          <w:rFonts w:eastAsia="Times New Roman" w:ascii="Times New Roman" w:hAnsi="Times New Roman"/>
          <w:sz w:val="28"/>
          <w:szCs w:val="28"/>
          <w:lang w:eastAsia="ru-RU"/>
        </w:rPr>
        <w:footnoteReference w:id="5"/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464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4"/>
      </w:tblGrid>
      <w:tr>
        <w:trPr/>
        <w:tc>
          <w:tcPr>
            <w:tcW w:w="46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__________________________________</w:t>
            </w:r>
          </w:p>
          <w:p>
            <w:pPr>
              <w:pStyle w:val="Normal"/>
              <w:tabs>
                <w:tab w:val="clear" w:pos="708"/>
                <w:tab w:val="left" w:pos="34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>
        <w:trPr/>
        <w:tc>
          <w:tcPr>
            <w:tcW w:w="464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tabs>
                <w:tab w:val="clear" w:pos="708"/>
                <w:tab w:val="left" w:pos="4428" w:leader="none"/>
              </w:tabs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 xml:space="preserve">          </w:t>
            </w:r>
            <w:r>
              <w:rPr>
                <w:rFonts w:cs="Times New Roman" w:ascii="Times New Roman" w:hAnsi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i/>
          <w:sz w:val="24"/>
          <w:szCs w:val="24"/>
          <w:vertAlign w:val="superscript"/>
        </w:rPr>
        <w:t>(дата)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Web"/>
        <w:spacing w:beforeAutospacing="0" w:before="0" w:afterAutospacing="0" w:after="60"/>
        <w:jc w:val="both"/>
        <w:rPr>
          <w:color w:val="000000"/>
          <w:vertAlign w:val="superscript"/>
        </w:rPr>
      </w:pPr>
      <w:r>
        <w:rPr>
          <w:rStyle w:val="Style13"/>
        </w:rPr>
        <w:footnoteRef/>
      </w: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3">
    <w:p>
      <w:pPr>
        <w:pStyle w:val="NormalWeb"/>
        <w:spacing w:beforeAutospacing="0" w:before="0" w:afterAutospacing="0" w:after="60"/>
        <w:jc w:val="both"/>
        <w:rPr>
          <w:color w:val="000000"/>
          <w:vertAlign w:val="superscript"/>
        </w:rPr>
      </w:pPr>
      <w:r>
        <w:rPr>
          <w:rStyle w:val="Style13"/>
        </w:rPr>
        <w:footnoteRef/>
      </w: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4">
    <w:p>
      <w:pPr>
        <w:pStyle w:val="FootnoteText"/>
        <w:spacing w:lineRule="auto" w:line="240" w:before="0" w:after="60"/>
        <w:jc w:val="both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Срок действия заявки должен быть не менее 90 календарных дней со дня, следующего за днем проведения аукциона</w:t>
      </w:r>
    </w:p>
  </w:footnote>
  <w:footnote w:id="5"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Style13"/>
        </w:rPr>
        <w:footnoteRef/>
      </w:r>
      <w:r>
        <w:rPr/>
        <w:t xml:space="preserve"> 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>
      <w:pPr>
        <w:pStyle w:val="FootnoteText"/>
        <w:spacing w:lineRule="auto" w:line="240" w:before="0" w:after="60"/>
        <w:jc w:val="both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 w:customStyle="1">
    <w:name w:val="Heading 3"/>
    <w:next w:val="Normal"/>
    <w:link w:val="3"/>
    <w:qFormat/>
    <w:pPr>
      <w:keepNext w:val="tru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hanging="0" w:left="0" w:right="0"/>
      <w:jc w:val="left"/>
      <w:outlineLvl w:val="2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20"/>
      <w:u w:val="none"/>
      <w:vertAlign w:val="baseline"/>
      <w:lang w:val="ru-RU" w:eastAsia="ru-RU" w:bidi="ar-SA"/>
      <w14:ligatures w14:val="none"/>
    </w:rPr>
  </w:style>
  <w:style w:type="paragraph" w:styleId="Heading4" w:customStyle="1">
    <w:name w:val="Heading 4"/>
    <w:next w:val="Normal"/>
    <w:link w:val="4"/>
    <w:qFormat/>
    <w:pPr>
      <w:keepNext w:val="tru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hanging="0" w:left="0" w:right="0"/>
      <w:jc w:val="right"/>
      <w:outlineLvl w:val="3"/>
    </w:pPr>
    <w:rPr>
      <w:rFonts w:ascii="Arial" w:hAnsi="Arial" w:eastAsia="Times New Roman" w:cs="Times New Roman"/>
      <w:b w:val="false"/>
      <w:bCs w:val="false"/>
      <w:i/>
      <w:iCs/>
      <w:caps w:val="false"/>
      <w:smallCaps w:val="false"/>
      <w:strike w:val="false"/>
      <w:dstrike w:val="false"/>
      <w:vanish w:val="false"/>
      <w:color w:val="0000FF"/>
      <w:spacing w:val="0"/>
      <w:kern w:val="0"/>
      <w:position w:val="0"/>
      <w:sz w:val="28"/>
      <w:sz w:val="28"/>
      <w:szCs w:val="14"/>
      <w:u w:val="none"/>
      <w:vertAlign w:val="baseline"/>
      <w:lang w:val="ru-RU" w:eastAsia="ru-RU" w:bidi="ar-SA"/>
      <w14:ligatures w14:val="none"/>
    </w:rPr>
  </w:style>
  <w:style w:type="paragraph" w:styleId="Heading5" w:customStyle="1">
    <w:name w:val="Heading 5"/>
    <w:next w:val="Normal"/>
    <w:link w:val="5"/>
    <w:qFormat/>
    <w:pPr>
      <w:keepNext w:val="tru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hanging="0" w:left="0" w:right="0"/>
      <w:jc w:val="both"/>
      <w:outlineLvl w:val="4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14"/>
      <w:u w:val="none"/>
      <w:vertAlign w:val="baseline"/>
      <w:lang w:val="ru-RU" w:eastAsia="ru-RU" w:bidi="ar-SA"/>
      <w14:ligatures w14:val="none"/>
    </w:rPr>
  </w:style>
  <w:style w:type="paragraph" w:styleId="Heading6" w:customStyle="1">
    <w:name w:val="Heading 6"/>
    <w:next w:val="Normal"/>
    <w:link w:val="6"/>
    <w:qFormat/>
    <w:pPr>
      <w:keepNext w:val="tru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firstLine="280" w:left="0" w:right="0"/>
      <w:jc w:val="left"/>
      <w:outlineLvl w:val="5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14"/>
      <w:u w:val="none"/>
      <w:vertAlign w:val="baseline"/>
      <w:lang w:val="ru-RU" w:eastAsia="ru-RU" w:bidi="ar-SA"/>
      <w14:ligatures w14:val="none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10" w:customStyle="1">
    <w:name w:val="Текст концевой сноски Знак"/>
    <w:uiPriority w:val="99"/>
    <w:qFormat/>
    <w:rPr>
      <w:sz w:val="20"/>
    </w:rPr>
  </w:style>
  <w:style w:type="character" w:styleId="Style11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ntStyle62" w:customStyle="1">
    <w:name w:val="Font Style62"/>
    <w:qFormat/>
    <w:rPr>
      <w:rFonts w:ascii="Times New Roman" w:hAnsi="Times New Roman"/>
      <w:sz w:val="18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22" w:customStyle="1">
    <w:name w:val="Продолжение списка 2 Знак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67" w:customStyle="1">
    <w:name w:val="Font Style67"/>
    <w:qFormat/>
    <w:rPr>
      <w:rFonts w:ascii="Times New Roman" w:hAnsi="Times New Roman"/>
      <w:i/>
      <w:sz w:val="24"/>
    </w:rPr>
  </w:style>
  <w:style w:type="character" w:styleId="Style12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3">
    <w:name w:val="Символ сноски"/>
    <w:basedOn w:val="DefaultParagraphFont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FontStyle70" w:customStyle="1">
    <w:name w:val="Font Style70"/>
    <w:basedOn w:val="DefaultParagraphFont"/>
    <w:uiPriority w:val="99"/>
    <w:qFormat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FontStyle71" w:customStyle="1">
    <w:name w:val="Font Style71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5" w:customStyle="1">
    <w:name w:val="Заголовок 5 Знак"/>
    <w:basedOn w:val="DefaultParagraphFont"/>
    <w:qFormat/>
    <w:rPr>
      <w:rFonts w:ascii="Arial" w:hAnsi="Arial" w:eastAsia="Times New Roman" w:cs="Times New Roman"/>
      <w:sz w:val="28"/>
      <w:szCs w:val="14"/>
      <w:lang w:eastAsia="ru-RU"/>
    </w:rPr>
  </w:style>
  <w:style w:type="character" w:styleId="6" w:customStyle="1">
    <w:name w:val="Заголовок 6 Знак"/>
    <w:basedOn w:val="DefaultParagraphFont"/>
    <w:qFormat/>
    <w:rPr>
      <w:rFonts w:ascii="Arial" w:hAnsi="Arial" w:eastAsia="Times New Roman" w:cs="Times New Roman"/>
      <w:sz w:val="28"/>
      <w:szCs w:val="14"/>
      <w:lang w:eastAsia="ru-RU"/>
    </w:rPr>
  </w:style>
  <w:style w:type="character" w:styleId="Style14" w:customStyle="1">
    <w:name w:val="Основной текст_"/>
    <w:basedOn w:val="DefaultParagraphFont"/>
    <w:link w:val="11"/>
    <w:qFormat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5" w:customStyle="1">
    <w:name w:val="Абзац списка Знак"/>
    <w:link w:val="ListParagraph"/>
    <w:uiPriority w:val="34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5B9BD5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EndnoteText">
    <w:name w:val="Endnote Text"/>
    <w:basedOn w:val="Normal"/>
    <w:link w:val="Style1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Style41" w:customStyle="1">
    <w:name w:val="Style4"/>
    <w:basedOn w:val="Normal"/>
    <w:qFormat/>
    <w:pPr>
      <w:widowControl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pPr>
      <w:widowControl w:val="fals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Style19" w:customStyle="1">
    <w:name w:val="САГ_Табличный_по ширине"/>
    <w:basedOn w:val="Normal"/>
    <w:uiPriority w:val="99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ListParagraph">
    <w:name w:val="List Paragraph"/>
    <w:basedOn w:val="Normal"/>
    <w:link w:val="Style15"/>
    <w:uiPriority w:val="34"/>
    <w:qFormat/>
    <w:pPr>
      <w:spacing w:before="0" w:after="160"/>
      <w:ind w:left="720"/>
      <w:contextualSpacing/>
    </w:pPr>
    <w:rPr/>
  </w:style>
  <w:style w:type="paragraph" w:styleId="Default" w:customStyle="1">
    <w:name w:val="Default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ListContinue2">
    <w:name w:val="List Continue 2"/>
    <w:basedOn w:val="Normal"/>
    <w:link w:val="22"/>
    <w:uiPriority w:val="99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Style12"/>
    <w:pPr>
      <w:spacing w:lineRule="auto" w:line="240" w:before="0" w:after="60"/>
      <w:jc w:val="both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Style40" w:customStyle="1">
    <w:name w:val="Style40"/>
    <w:basedOn w:val="Normal"/>
    <w:uiPriority w:val="99"/>
    <w:qFormat/>
    <w:pPr>
      <w:widowControl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81" w:customStyle="1">
    <w:name w:val="Style8"/>
    <w:basedOn w:val="Normal"/>
    <w:qFormat/>
    <w:pPr>
      <w:widowControl w:val="false"/>
      <w:spacing w:lineRule="exact" w:line="317" w:before="0" w:after="0"/>
      <w:ind w:hanging="355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71" w:customStyle="1">
    <w:name w:val="Style7"/>
    <w:basedOn w:val="Normal"/>
    <w:uiPriority w:val="99"/>
    <w:qFormat/>
    <w:pPr>
      <w:widowControl w:val="false"/>
      <w:spacing w:lineRule="exact" w:line="312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411" w:customStyle="1">
    <w:name w:val="Style41"/>
    <w:basedOn w:val="Normal"/>
    <w:uiPriority w:val="99"/>
    <w:qFormat/>
    <w:pPr>
      <w:widowControl w:val="fals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 w:customStyle="1">
    <w:name w:val="САГ_Абзац"/>
    <w:basedOn w:val="Normal"/>
    <w:qFormat/>
    <w:pPr>
      <w:tabs>
        <w:tab w:val="clear" w:pos="708"/>
        <w:tab w:val="left" w:pos="0" w:leader="none"/>
      </w:tabs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 w:customStyle="1">
    <w:name w:val="Основной текст1"/>
    <w:basedOn w:val="Normal"/>
    <w:link w:val="Style14"/>
    <w:qFormat/>
    <w:pPr>
      <w:shd w:val="clear" w:color="auto" w:fill="FFFFFF"/>
      <w:spacing w:lineRule="atLeast" w:line="0" w:before="0" w:after="420"/>
    </w:pPr>
    <w:rPr>
      <w:rFonts w:ascii="Times New Roman" w:hAnsi="Times New Roman" w:eastAsia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ocdata" w:customStyle="1">
    <w:name w:val="docdata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712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749">
    <w:name w:val="Table Grid Light"/>
    <w:basedOn w:val="71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0">
    <w:name w:val="Plain Table 1"/>
    <w:basedOn w:val="71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51">
    <w:name w:val="Plain Table 2"/>
    <w:basedOn w:val="7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52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53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4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 w:themeFill="text1" w:themeFillTint="d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55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6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7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8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59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0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761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62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3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4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5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6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7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68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9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0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1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2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3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4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5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6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77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EEBF6" w:fill="DEEBF6" w:themeFill="accent1" w:themeFillTint="32"/>
      </w:tcPr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</w:style>
  <w:style w:type="table" w:customStyle="1" w:styleId="778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779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780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781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782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</w:style>
  <w:style w:type="table" w:styleId="783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784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3D0EB" w:fill="B3D0EB" w:themeFill="accent1" w:themeFillTint="75"/>
      </w:tcPr>
    </w:tblStylePr>
    <w:tblStylePr w:type="band1Vert">
      <w:tblPr/>
      <w:tcPr>
        <w:shd w:val="clear" w:color="B3D0EB" w:fill="B3D0EB" w:themeFill="accent1" w:themeFillTint="75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785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6C3A0" w:fill="F6C3A0" w:themeFill="accent2" w:themeFillTint="75"/>
      </w:tcPr>
    </w:tblStylePr>
    <w:tblStylePr w:type="band1Vert">
      <w:tblPr/>
      <w:tcPr>
        <w:shd w:val="clear" w:color="F6C3A0" w:fill="F6C3A0" w:themeFill="accent2" w:themeFillTint="75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</w:style>
  <w:style w:type="table" w:customStyle="1" w:styleId="786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5D5D5" w:fill="D5D5D5" w:themeFill="accent3" w:themeFillTint="75"/>
      </w:tcPr>
    </w:tblStylePr>
    <w:tblStylePr w:type="band1Vert">
      <w:tblPr/>
      <w:tcPr>
        <w:shd w:val="clear" w:color="D5D5D5" w:fill="D5D5D5" w:themeFill="accent3" w:themeFillTint="75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</w:style>
  <w:style w:type="table" w:customStyle="1" w:styleId="787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FE28A" w:fill="FFE28A" w:themeFill="accent4" w:themeFillTint="75"/>
      </w:tcPr>
    </w:tblStylePr>
    <w:tblStylePr w:type="band1Vert">
      <w:tblPr/>
      <w:tcPr>
        <w:shd w:val="clear" w:color="FFE28A" w:fill="FFE28A" w:themeFill="accent4" w:themeFillTint="75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</w:style>
  <w:style w:type="table" w:customStyle="1" w:styleId="788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9BEE4" w:fill="A9BEE4" w:themeFill="accent5" w:themeFillTint="7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</w:style>
  <w:style w:type="table" w:customStyle="1" w:styleId="789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CDBA8" w:fill="BCDBA8" w:themeFill="accent6" w:themeFillTint="75"/>
      </w:tcPr>
    </w:tblStylePr>
    <w:tblStylePr w:type="band1Vert">
      <w:tblPr/>
      <w:tcPr>
        <w:shd w:val="clear" w:color="BCDBA8" w:fill="BCDBA8" w:themeFill="accent6" w:themeFillTint="75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</w:style>
  <w:style w:type="table" w:styleId="790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</w:style>
  <w:style w:type="table" w:customStyle="1" w:styleId="791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</w:style>
  <w:style w:type="table" w:customStyle="1" w:styleId="792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</w:style>
  <w:style w:type="table" w:customStyle="1" w:styleId="793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</w:style>
  <w:style w:type="table" w:customStyle="1" w:styleId="794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</w:style>
  <w:style w:type="table" w:customStyle="1" w:styleId="795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customStyle="1" w:styleId="796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</w:style>
  <w:style w:type="table" w:styleId="797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798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799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00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01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02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03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styleId="804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5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6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7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8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09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10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812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customStyle="1" w:styleId="813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customStyle="1" w:styleId="814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customStyle="1" w:styleId="815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customStyle="1" w:styleId="816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customStyle="1" w:styleId="817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818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19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0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1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2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3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4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5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6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7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8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29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0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customStyle="1" w:styleId="831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2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3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4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5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6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7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customStyle="1" w:styleId="838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</w:style>
  <w:style w:type="table" w:styleId="839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40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841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842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</w:style>
  <w:style w:type="table" w:customStyle="1" w:styleId="843">
    <w:name w:val="List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844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</w:style>
  <w:style w:type="table" w:customStyle="1" w:styleId="845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</w:style>
  <w:style w:type="table" w:styleId="846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47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48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49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50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51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52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</w:style>
  <w:style w:type="table" w:customStyle="1" w:styleId="853">
    <w:name w:val="Lined - Accent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54">
    <w:name w:val="Lined - Accent 1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55">
    <w:name w:val="Lined - Accent 2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56">
    <w:name w:val="Lined - Accent 3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57">
    <w:name w:val="Lined - Accent 4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58">
    <w:name w:val="Lined - Accent 5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</w:style>
  <w:style w:type="table" w:customStyle="1" w:styleId="859">
    <w:name w:val="Lined - Accent 6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</w:style>
  <w:style w:type="table" w:customStyle="1" w:styleId="860">
    <w:name w:val="Bordered &amp; Lined - Accent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61">
    <w:name w:val="Bordered &amp; Lined - Accent 1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62">
    <w:name w:val="Bordered &amp; Lined - Accent 2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63">
    <w:name w:val="Bordered &amp; Lined - Accent 3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64">
    <w:name w:val="Bordered &amp; Lined - Accent 4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65">
    <w:name w:val="Bordered &amp; Lined - Accent 5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</w:style>
  <w:style w:type="table" w:customStyle="1" w:styleId="866">
    <w:name w:val="Bordered &amp; Lined - Accent 6"/>
    <w:basedOn w:val="712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</w:style>
  <w:style w:type="table" w:customStyle="1" w:styleId="867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68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</w:style>
  <w:style w:type="table" w:customStyle="1" w:styleId="869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</w:style>
  <w:style w:type="table" w:customStyle="1" w:styleId="870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</w:style>
  <w:style w:type="table" w:customStyle="1" w:styleId="871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</w:style>
  <w:style w:type="table" w:customStyle="1" w:styleId="872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</w:style>
  <w:style w:type="table" w:customStyle="1" w:styleId="873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</w:style>
  <w:style w:type="table" w:styleId="892">
    <w:name w:val="Table Grid"/>
    <w:basedOn w:val="712"/>
    <w:uiPriority w:val="5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ashgaz.ru/" TargetMode="External"/><Relationship Id="rId3" Type="http://schemas.openxmlformats.org/officeDocument/2006/relationships/hyperlink" Target="https://www.bashgaz.ru/" TargetMode="External"/><Relationship Id="rId4" Type="http://schemas.openxmlformats.org/officeDocument/2006/relationships/hyperlink" Target="mailto:ishmiyarova.yu@bashgaz.ru," TargetMode="External"/><Relationship Id="rId5" Type="http://schemas.openxmlformats.org/officeDocument/2006/relationships/hyperlink" Target="mailto:amantaeva.rm@bashgaz.ru" TargetMode="Externa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LibreOffice/7.6.4.1$Linux_X86_64 LibreOffice_project/60$Build-1</Application>
  <AppVersion>15.0000</AppVersion>
  <Pages>10</Pages>
  <Words>2083</Words>
  <Characters>14976</Characters>
  <CharactersWithSpaces>17255</CharactersWithSpaces>
  <Paragraphs>351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2024-08-19T10:28:00Z</dcterms:created>
  <dc:creator>Ишмиярова Юлия Робертовна</dc:creator>
  <dc:description/>
  <dc:language>ru-RU</dc:language>
  <cp:lastModifiedBy/>
  <dcterms:modified xsi:type="dcterms:W3CDTF">2025-11-20T15:12:11Z</dcterms:modified>
  <cp:revision>138</cp:revision>
  <dc:subject/>
  <dc:title/>
</cp:coreProperties>
</file>