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3568DB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31</w:t>
      </w:r>
      <w:r w:rsidR="00050B9F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7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6E12A3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EF7E50" w:rsidRDefault="00EF7E50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EF7E50">
              <w:rPr>
                <w:rStyle w:val="FontStyle62"/>
                <w:sz w:val="24"/>
              </w:rPr>
              <w:t xml:space="preserve">Яримов Булат Наилевич </w:t>
            </w:r>
          </w:p>
          <w:p w:rsidR="00EF7E50" w:rsidRDefault="00EF7E50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EF7E50">
              <w:rPr>
                <w:rStyle w:val="FontStyle62"/>
                <w:sz w:val="24"/>
              </w:rPr>
              <w:t xml:space="preserve">8-967-789-59-07  </w:t>
            </w:r>
          </w:p>
          <w:p w:rsidR="00BF06BF" w:rsidRDefault="00EF7E50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EF7E50">
              <w:rPr>
                <w:rStyle w:val="FontStyle62"/>
                <w:sz w:val="24"/>
              </w:rPr>
              <w:t>12Yarimov.BN@bashgaz.ru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050B9F">
            <w:pPr>
              <w:pStyle w:val="Style4"/>
              <w:widowControl/>
              <w:rPr>
                <w:rStyle w:val="FontStyle62"/>
                <w:sz w:val="24"/>
              </w:rPr>
            </w:pPr>
            <w:r w:rsidRPr="00050B9F">
              <w:rPr>
                <w:rStyle w:val="FontStyle62"/>
                <w:sz w:val="24"/>
              </w:rPr>
              <w:t>Специализированное пассажирское ГАЗ-32213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EF7E50" w:rsidRDefault="00EF7E50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E50">
              <w:rPr>
                <w:rFonts w:ascii="Times New Roman" w:hAnsi="Times New Roman" w:cs="Times New Roman"/>
                <w:sz w:val="24"/>
                <w:szCs w:val="24"/>
              </w:rPr>
              <w:t>г. Нефтекамск ул. Карла Маркса 15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031" w:type="dxa"/>
              <w:tblLook w:val="0000" w:firstRow="0" w:lastRow="0" w:firstColumn="0" w:lastColumn="0" w:noHBand="0" w:noVBand="0"/>
            </w:tblPr>
            <w:tblGrid>
              <w:gridCol w:w="5778"/>
              <w:gridCol w:w="4253"/>
            </w:tblGrid>
            <w:tr w:rsidR="00050B9F" w:rsidTr="00050B9F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0B9F" w:rsidRDefault="00050B9F" w:rsidP="00050B9F">
                  <w:pPr>
                    <w:keepNext/>
                    <w:spacing w:after="0" w:line="240" w:lineRule="auto"/>
                    <w:outlineLvl w:val="6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Марка, модель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0B9F" w:rsidRDefault="00050B9F" w:rsidP="00050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   ГАЗ 32213</w:t>
                  </w:r>
                </w:p>
              </w:tc>
            </w:tr>
            <w:tr w:rsidR="00050B9F" w:rsidTr="00050B9F">
              <w:trPr>
                <w:trHeight w:val="327"/>
              </w:trPr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0B9F" w:rsidRDefault="00050B9F" w:rsidP="00050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Регистрационный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0B9F" w:rsidRDefault="00050B9F" w:rsidP="00050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В763ОК102</w:t>
                  </w:r>
                </w:p>
              </w:tc>
            </w:tr>
            <w:tr w:rsidR="00050B9F" w:rsidTr="00050B9F">
              <w:trPr>
                <w:trHeight w:val="327"/>
              </w:trPr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0B9F" w:rsidRDefault="00050B9F" w:rsidP="00050B9F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Инвентарный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0B9F" w:rsidRDefault="00050B9F" w:rsidP="00050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3872л</w:t>
                  </w:r>
                </w:p>
              </w:tc>
            </w:tr>
            <w:tr w:rsidR="00050B9F" w:rsidTr="00050B9F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0B9F" w:rsidRDefault="00050B9F" w:rsidP="00050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 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0B9F" w:rsidRDefault="00050B9F" w:rsidP="00050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Х96322130А0676293</w:t>
                  </w:r>
                </w:p>
              </w:tc>
            </w:tr>
            <w:tr w:rsidR="00050B9F" w:rsidTr="00050B9F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0B9F" w:rsidRDefault="00050B9F" w:rsidP="00050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 выпуска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0B9F" w:rsidRDefault="00050B9F" w:rsidP="00050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2010</w:t>
                  </w:r>
                </w:p>
              </w:tc>
            </w:tr>
            <w:tr w:rsidR="00050B9F" w:rsidTr="00050B9F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0B9F" w:rsidRDefault="00050B9F" w:rsidP="00050B9F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Модель, № двигателя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0B9F" w:rsidRDefault="00050B9F" w:rsidP="00050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*421600*А0803671*</w:t>
                  </w:r>
                </w:p>
              </w:tc>
            </w:tr>
            <w:tr w:rsidR="00050B9F" w:rsidTr="00050B9F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0B9F" w:rsidRDefault="00050B9F" w:rsidP="00050B9F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0B9F" w:rsidRDefault="00050B9F" w:rsidP="00050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отсутствует</w:t>
                  </w:r>
                </w:p>
              </w:tc>
            </w:tr>
            <w:tr w:rsidR="00050B9F" w:rsidTr="00050B9F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0B9F" w:rsidRDefault="00050B9F" w:rsidP="00050B9F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0B9F" w:rsidRDefault="00050B9F" w:rsidP="00050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322100А0452686</w:t>
                  </w:r>
                </w:p>
              </w:tc>
            </w:tr>
            <w:tr w:rsidR="00050B9F" w:rsidTr="00050B9F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0B9F" w:rsidRDefault="00050B9F" w:rsidP="00050B9F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0B9F" w:rsidRDefault="00050B9F" w:rsidP="00050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Белый</w:t>
                  </w:r>
                </w:p>
              </w:tc>
            </w:tr>
            <w:tr w:rsidR="00050B9F" w:rsidTr="00050B9F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0B9F" w:rsidRDefault="00050B9F" w:rsidP="00050B9F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Паспорт транспортного средства (ПТС)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0B9F" w:rsidRDefault="00050B9F" w:rsidP="00050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52МХ091664</w:t>
                  </w:r>
                </w:p>
              </w:tc>
            </w:tr>
            <w:tr w:rsidR="00050B9F" w:rsidTr="00050B9F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50B9F" w:rsidRDefault="00050B9F" w:rsidP="00050B9F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Свидетельство о регистрации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0B9F" w:rsidRDefault="00050B9F" w:rsidP="00050B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9956 668659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050B9F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186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CD5963">
        <w:tc>
          <w:tcPr>
            <w:tcW w:w="851" w:type="dxa"/>
          </w:tcPr>
          <w:p w:rsidR="00CD5963" w:rsidRDefault="00CD5963" w:rsidP="00CD5963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CD5963" w:rsidRDefault="00CD5963" w:rsidP="00CD5963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CD5963" w:rsidRPr="00CD5963" w:rsidRDefault="00CD5963" w:rsidP="00CD5963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CD5963">
              <w:rPr>
                <w:b/>
                <w:color w:val="000000"/>
              </w:rPr>
              <w:t xml:space="preserve">12.12.2025 </w:t>
            </w:r>
            <w:r w:rsidRPr="00CD5963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CD5963" w:rsidRPr="00CD5963" w:rsidRDefault="00CD5963" w:rsidP="00CD5963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CD5963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CD5963" w:rsidTr="00FD66D9">
        <w:trPr>
          <w:trHeight w:val="623"/>
        </w:trPr>
        <w:tc>
          <w:tcPr>
            <w:tcW w:w="851" w:type="dxa"/>
          </w:tcPr>
          <w:p w:rsidR="00CD5963" w:rsidRDefault="00CD5963" w:rsidP="00CD5963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CD5963" w:rsidRDefault="00CD5963" w:rsidP="00CD5963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CD5963" w:rsidRPr="00CD5963" w:rsidRDefault="00CD5963" w:rsidP="00CD5963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CD5963">
              <w:rPr>
                <w:b/>
                <w:color w:val="000000"/>
              </w:rPr>
              <w:t xml:space="preserve">15.12.2025 </w:t>
            </w:r>
            <w:r w:rsidRPr="00CD5963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CD5963" w:rsidRPr="00CD5963" w:rsidRDefault="00CD5963" w:rsidP="00CD5963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CD5963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CD5963">
        <w:tc>
          <w:tcPr>
            <w:tcW w:w="851" w:type="dxa"/>
          </w:tcPr>
          <w:p w:rsidR="00CD5963" w:rsidRDefault="00CD5963" w:rsidP="00CD5963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CD5963" w:rsidRDefault="00CD5963" w:rsidP="00CD5963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CD5963" w:rsidRPr="00CD5963" w:rsidRDefault="00CD5963" w:rsidP="00CD5963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CD5963">
              <w:rPr>
                <w:b/>
                <w:color w:val="000000"/>
              </w:rPr>
              <w:t xml:space="preserve">16.12.2025 </w:t>
            </w:r>
            <w:r w:rsidRPr="00CD5963">
              <w:rPr>
                <w:rStyle w:val="FontStyle62"/>
                <w:rFonts w:eastAsia="Arial"/>
                <w:b/>
                <w:sz w:val="24"/>
              </w:rPr>
              <w:t xml:space="preserve">в 12ч.30 мин. </w:t>
            </w:r>
          </w:p>
          <w:p w:rsidR="00CD5963" w:rsidRPr="00CD5963" w:rsidRDefault="00CD5963" w:rsidP="00CD5963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CD5963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CD5963">
        <w:tc>
          <w:tcPr>
            <w:tcW w:w="851" w:type="dxa"/>
          </w:tcPr>
          <w:p w:rsidR="00CD5963" w:rsidRDefault="00CD5963" w:rsidP="00CD5963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CD5963" w:rsidRDefault="00CD5963" w:rsidP="00CD5963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CD5963" w:rsidRPr="00CD5963" w:rsidRDefault="00CD5963" w:rsidP="00CD5963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CD5963">
              <w:rPr>
                <w:b/>
                <w:color w:val="000000"/>
              </w:rPr>
              <w:t xml:space="preserve">19.12.2025 </w:t>
            </w:r>
            <w:r w:rsidRPr="00CD5963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CD5963" w:rsidRPr="00CD5963" w:rsidRDefault="00CD5963" w:rsidP="00CD5963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CD5963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CD5963" w:rsidRPr="00CD5963" w:rsidRDefault="00CD5963" w:rsidP="00CD5963">
            <w:pPr>
              <w:pStyle w:val="Style4"/>
              <w:widowControl/>
              <w:rPr>
                <w:rFonts w:eastAsia="Arial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  <w:bookmarkStart w:id="0" w:name="_GoBack"/>
        <w:bookmarkEnd w:id="0"/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2A3" w:rsidRDefault="006E12A3">
      <w:pPr>
        <w:spacing w:after="0" w:line="240" w:lineRule="auto"/>
      </w:pPr>
      <w:r>
        <w:separator/>
      </w:r>
    </w:p>
  </w:endnote>
  <w:endnote w:type="continuationSeparator" w:id="0">
    <w:p w:rsidR="006E12A3" w:rsidRDefault="006E1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2A3" w:rsidRDefault="006E12A3">
      <w:pPr>
        <w:spacing w:after="0" w:line="240" w:lineRule="auto"/>
      </w:pPr>
      <w:r>
        <w:separator/>
      </w:r>
    </w:p>
  </w:footnote>
  <w:footnote w:type="continuationSeparator" w:id="0">
    <w:p w:rsidR="006E12A3" w:rsidRDefault="006E12A3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72E7"/>
    <w:rsid w:val="001A5F6E"/>
    <w:rsid w:val="001E1704"/>
    <w:rsid w:val="001F0AC8"/>
    <w:rsid w:val="002009AA"/>
    <w:rsid w:val="00206128"/>
    <w:rsid w:val="0021374E"/>
    <w:rsid w:val="00214A4B"/>
    <w:rsid w:val="0023338D"/>
    <w:rsid w:val="00244F21"/>
    <w:rsid w:val="00247690"/>
    <w:rsid w:val="0025032D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06065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E12A3"/>
    <w:rsid w:val="006F695B"/>
    <w:rsid w:val="00712104"/>
    <w:rsid w:val="0071258F"/>
    <w:rsid w:val="00713454"/>
    <w:rsid w:val="00714E8F"/>
    <w:rsid w:val="00733EDD"/>
    <w:rsid w:val="00736F43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2339"/>
    <w:rsid w:val="008E1321"/>
    <w:rsid w:val="008F0D9D"/>
    <w:rsid w:val="008F5DC0"/>
    <w:rsid w:val="00914FF4"/>
    <w:rsid w:val="0096165E"/>
    <w:rsid w:val="0098078A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A0C03"/>
    <w:rsid w:val="00CA3FF8"/>
    <w:rsid w:val="00CB3B7F"/>
    <w:rsid w:val="00CB4D86"/>
    <w:rsid w:val="00CD3397"/>
    <w:rsid w:val="00CD5963"/>
    <w:rsid w:val="00CF1AD9"/>
    <w:rsid w:val="00D02B84"/>
    <w:rsid w:val="00D0465F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75CE-C67F-40B2-AF4C-131A7AC1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167</cp:revision>
  <dcterms:created xsi:type="dcterms:W3CDTF">2024-08-19T10:28:00Z</dcterms:created>
  <dcterms:modified xsi:type="dcterms:W3CDTF">2025-11-26T07:40:00Z</dcterms:modified>
</cp:coreProperties>
</file>