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9F6D59" w:rsidRPr="00FE057A">
        <w:rPr>
          <w:rFonts w:ascii="Times New Roman" w:hAnsi="Times New Roman" w:cs="Times New Roman"/>
          <w:b/>
          <w:sz w:val="24"/>
          <w:szCs w:val="24"/>
        </w:rPr>
        <w:t>148/2026-ГРО/07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Уфа,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E41B4D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 w:rsidP="00AE3F6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</w:t>
            </w:r>
            <w:r w:rsidR="00AE3F62">
              <w:rPr>
                <w:rStyle w:val="FontStyle62"/>
                <w:sz w:val="24"/>
              </w:rPr>
              <w:t>имущества</w:t>
            </w:r>
            <w:r>
              <w:rPr>
                <w:rStyle w:val="FontStyle62"/>
                <w:sz w:val="24"/>
              </w:rPr>
              <w:t xml:space="preserve">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F6D59" w:rsidRPr="009F6D59" w:rsidRDefault="009F6D59" w:rsidP="009F6D59">
            <w:pPr>
              <w:pStyle w:val="Style4"/>
              <w:widowControl/>
              <w:rPr>
                <w:color w:val="000000"/>
              </w:rPr>
            </w:pPr>
            <w:r w:rsidRPr="009F6D59">
              <w:rPr>
                <w:color w:val="000000"/>
              </w:rPr>
              <w:t xml:space="preserve">Петухов Сергей Евгеньевич </w:t>
            </w:r>
          </w:p>
          <w:p w:rsidR="00BF06BF" w:rsidRDefault="009F6D59" w:rsidP="009F6D59">
            <w:pPr>
              <w:pStyle w:val="Style4"/>
              <w:widowControl/>
              <w:rPr>
                <w:color w:val="000000"/>
              </w:rPr>
            </w:pPr>
            <w:r w:rsidRPr="009F6D59">
              <w:rPr>
                <w:color w:val="000000"/>
              </w:rPr>
              <w:t>(347) 229-98-96</w:t>
            </w:r>
          </w:p>
          <w:p w:rsidR="00AE3F62" w:rsidRDefault="00AE3F62" w:rsidP="009F6D59">
            <w:pPr>
              <w:pStyle w:val="Style4"/>
              <w:widowControl/>
              <w:rPr>
                <w:rStyle w:val="FontStyle62"/>
                <w:sz w:val="24"/>
              </w:rPr>
            </w:pPr>
            <w:hyperlink r:id="rId9" w:history="1">
              <w:r w:rsidRPr="00A5473C">
                <w:rPr>
                  <w:rStyle w:val="af3"/>
                </w:rPr>
                <w:t>petuhov.se@bashgaz.ru</w:t>
              </w:r>
            </w:hyperlink>
          </w:p>
          <w:p w:rsidR="00AE3F62" w:rsidRPr="001F7C2B" w:rsidRDefault="00AE3F62" w:rsidP="009F6D59">
            <w:pPr>
              <w:pStyle w:val="Style4"/>
              <w:widowControl/>
              <w:rPr>
                <w:rStyle w:val="FontStyle62"/>
                <w:sz w:val="24"/>
                <w:lang w:val="en-US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9F6D59">
            <w:pPr>
              <w:pStyle w:val="Style4"/>
              <w:widowControl/>
              <w:rPr>
                <w:rStyle w:val="FontStyle62"/>
                <w:sz w:val="24"/>
              </w:rPr>
            </w:pPr>
            <w:r w:rsidRPr="00FD6351">
              <w:t xml:space="preserve">Трансформатор </w:t>
            </w:r>
            <w:r>
              <w:t>КТП-40 с разъединителем 400-10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0F377D" w:rsidRDefault="009F6D59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г. Октябрьский, ул. Космонавтов,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62</w:t>
            </w:r>
            <w:r w:rsidR="000F377D" w:rsidRPr="000F37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="000F377D" w:rsidRPr="000F37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 w:rsidR="00AE3F62">
              <w:rPr>
                <w:rFonts w:ascii="Times New Roman" w:hAnsi="Times New Roman" w:cs="Times New Roman"/>
                <w:sz w:val="24"/>
                <w:szCs w:val="24"/>
              </w:rPr>
              <w:t xml:space="preserve"> и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p w:rsidR="009F6D59" w:rsidRDefault="009F6D59" w:rsidP="009F6D59">
            <w:pPr>
              <w:tabs>
                <w:tab w:val="left" w:pos="481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7F1">
              <w:rPr>
                <w:rFonts w:ascii="Times New Roman" w:hAnsi="Times New Roman" w:cs="Times New Roman"/>
                <w:sz w:val="24"/>
                <w:szCs w:val="24"/>
              </w:rPr>
              <w:t>Объектом реализации является действующая электроустановка - отпайка от воздушной линии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 10</w:t>
            </w:r>
            <w:r w:rsidRPr="001C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7F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1C27F1">
              <w:rPr>
                <w:rFonts w:ascii="Times New Roman" w:hAnsi="Times New Roman" w:cs="Times New Roman"/>
                <w:sz w:val="24"/>
                <w:szCs w:val="24"/>
              </w:rPr>
              <w:t xml:space="preserve"> до ТП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длиной 75 м,</w:t>
            </w:r>
            <w:r w:rsidRPr="001C27F1">
              <w:rPr>
                <w:rFonts w:ascii="Times New Roman" w:hAnsi="Times New Roman" w:cs="Times New Roman"/>
                <w:sz w:val="24"/>
                <w:szCs w:val="24"/>
              </w:rPr>
              <w:t xml:space="preserve"> трансформаторн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подстанция МТП-527 10/0,4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трансформатором ТМ 40/10-У1.</w:t>
            </w:r>
          </w:p>
          <w:p w:rsidR="009F6D59" w:rsidRDefault="009F6D59" w:rsidP="009F6D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 самостоятельно организует работы </w:t>
            </w:r>
            <w:r w:rsidRPr="00462C12">
              <w:rPr>
                <w:rFonts w:ascii="Times New Roman" w:hAnsi="Times New Roman" w:cs="Times New Roman"/>
                <w:sz w:val="24"/>
                <w:szCs w:val="24"/>
              </w:rPr>
              <w:t xml:space="preserve">по оперативному обслуживанию и управлению электроустановок и ликвидации аварийных ситуаций, ведению оперативных переговоров с </w:t>
            </w:r>
            <w:proofErr w:type="spellStart"/>
            <w:r w:rsidRPr="00462C12">
              <w:rPr>
                <w:rFonts w:ascii="Times New Roman" w:hAnsi="Times New Roman" w:cs="Times New Roman"/>
                <w:sz w:val="24"/>
                <w:szCs w:val="24"/>
              </w:rPr>
              <w:t>энергоснабжающей</w:t>
            </w:r>
            <w:proofErr w:type="spellEnd"/>
            <w:r w:rsidRPr="00462C1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по выводу в ремонт </w:t>
            </w:r>
            <w:hyperlink r:id="rId10" w:anchor="YANDEX_67" w:history="1"/>
            <w:r w:rsidRPr="00462C12">
              <w:rPr>
                <w:rFonts w:ascii="Times New Roman" w:hAnsi="Times New Roman" w:cs="Times New Roman"/>
                <w:sz w:val="24"/>
                <w:szCs w:val="24"/>
              </w:rPr>
              <w:t> электроустановок</w:t>
            </w:r>
            <w:hyperlink r:id="rId11" w:anchor="YANDEX_69" w:history="1"/>
            <w:r w:rsidRPr="00462C12">
              <w:rPr>
                <w:rFonts w:ascii="Times New Roman" w:hAnsi="Times New Roman" w:cs="Times New Roman"/>
                <w:sz w:val="24"/>
                <w:szCs w:val="24"/>
              </w:rPr>
              <w:t xml:space="preserve">, для выполнения ремонтов и </w:t>
            </w:r>
            <w:hyperlink r:id="rId12" w:anchor="YANDEX_68" w:history="1"/>
            <w:r w:rsidRPr="00462C12">
              <w:rPr>
                <w:rFonts w:ascii="Times New Roman" w:hAnsi="Times New Roman" w:cs="Times New Roman"/>
                <w:sz w:val="24"/>
                <w:szCs w:val="24"/>
              </w:rPr>
              <w:t> технического </w:t>
            </w:r>
            <w:hyperlink r:id="rId13" w:anchor="YANDEX_70" w:history="1"/>
            <w:r w:rsidRPr="00462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anchor="YANDEX_69" w:history="1"/>
            <w:r w:rsidRPr="00462C12">
              <w:rPr>
                <w:rFonts w:ascii="Times New Roman" w:hAnsi="Times New Roman" w:cs="Times New Roman"/>
                <w:sz w:val="24"/>
                <w:szCs w:val="24"/>
              </w:rPr>
              <w:t> обслуживания, а также при возникновении аварийных ситуаций.</w:t>
            </w:r>
          </w:p>
          <w:p w:rsidR="009F6D59" w:rsidRDefault="009F6D59" w:rsidP="009F6D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C12">
              <w:rPr>
                <w:rFonts w:ascii="Times New Roman" w:hAnsi="Times New Roman" w:cs="Times New Roman"/>
                <w:sz w:val="24"/>
                <w:szCs w:val="24"/>
              </w:rPr>
              <w:t>В соответствии с п. 6 «Правил недискриминационного доступа к услугам по передаче электрической энергии и оказания этих услуг», утвержденных постановлением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ительства РФ от 27.12.2004 №861</w:t>
            </w:r>
            <w:r w:rsidRPr="00462C12">
              <w:rPr>
                <w:rFonts w:ascii="Times New Roman" w:hAnsi="Times New Roman" w:cs="Times New Roman"/>
                <w:sz w:val="24"/>
                <w:szCs w:val="24"/>
              </w:rPr>
              <w:t xml:space="preserve">, собственники и иные законные владельцы объектов электросетевого хозяйства, через которые опосредованно присоединено к электрическим сетям сетевой организации </w:t>
            </w:r>
            <w:proofErr w:type="spellStart"/>
            <w:r w:rsidRPr="00462C12">
              <w:rPr>
                <w:rFonts w:ascii="Times New Roman" w:hAnsi="Times New Roman" w:cs="Times New Roman"/>
                <w:sz w:val="24"/>
                <w:szCs w:val="24"/>
              </w:rPr>
              <w:t>энергопринимающее</w:t>
            </w:r>
            <w:proofErr w:type="spellEnd"/>
            <w:r w:rsidRPr="00462C12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потребителя, не вправе препятствовать </w:t>
            </w:r>
            <w:proofErr w:type="spellStart"/>
            <w:r w:rsidRPr="00462C12">
              <w:rPr>
                <w:rFonts w:ascii="Times New Roman" w:hAnsi="Times New Roman" w:cs="Times New Roman"/>
                <w:sz w:val="24"/>
                <w:szCs w:val="24"/>
              </w:rPr>
              <w:t>перетоку</w:t>
            </w:r>
            <w:proofErr w:type="spellEnd"/>
            <w:r w:rsidRPr="00462C12">
              <w:rPr>
                <w:rFonts w:ascii="Times New Roman" w:hAnsi="Times New Roman" w:cs="Times New Roman"/>
                <w:sz w:val="24"/>
                <w:szCs w:val="24"/>
              </w:rPr>
              <w:t xml:space="preserve"> через их объекты электрической энергии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C12">
              <w:rPr>
                <w:rFonts w:ascii="Times New Roman" w:hAnsi="Times New Roman" w:cs="Times New Roman"/>
                <w:sz w:val="24"/>
                <w:szCs w:val="24"/>
              </w:rPr>
              <w:t>такого потребителя и требовать за это оплату.</w:t>
            </w:r>
          </w:p>
          <w:p w:rsidR="009F6D59" w:rsidRDefault="001F7C2B" w:rsidP="009F6D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9F6D59" w:rsidRPr="00462C12">
              <w:rPr>
                <w:rFonts w:ascii="Times New Roman" w:hAnsi="Times New Roman" w:cs="Times New Roman"/>
                <w:sz w:val="24"/>
                <w:szCs w:val="24"/>
              </w:rPr>
              <w:t xml:space="preserve"> учетом положений статьи 210 ГК РФ такой собственник объектов электросетевого хозяйства, несет бремя содержания принадлежащего ему имущества в надлежащем состоянии, обеспечивающем </w:t>
            </w:r>
            <w:proofErr w:type="spellStart"/>
            <w:r w:rsidR="009F6D59" w:rsidRPr="00462C12">
              <w:rPr>
                <w:rFonts w:ascii="Times New Roman" w:hAnsi="Times New Roman" w:cs="Times New Roman"/>
                <w:sz w:val="24"/>
                <w:szCs w:val="24"/>
              </w:rPr>
              <w:t>переток</w:t>
            </w:r>
            <w:proofErr w:type="spellEnd"/>
            <w:r w:rsidR="009F6D59" w:rsidRPr="00462C12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электрической энергии на объекты иных лиц. При наступлении аварийных ситуаций, </w:t>
            </w:r>
            <w:r w:rsidR="009F6D59" w:rsidRPr="00462C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собственник имущества должен принять все необходимые действия для их устранения в нормативно установленные сроки.</w:t>
            </w:r>
          </w:p>
          <w:p w:rsidR="009F6D59" w:rsidRPr="00462C12" w:rsidRDefault="001F7C2B" w:rsidP="009F6D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F6D59" w:rsidRPr="00462C12">
              <w:rPr>
                <w:rFonts w:ascii="Times New Roman" w:hAnsi="Times New Roman" w:cs="Times New Roman"/>
                <w:sz w:val="24"/>
                <w:szCs w:val="24"/>
              </w:rPr>
              <w:t xml:space="preserve">ывод из эксплуатации объектов электросетевого хозяйства,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 w:rsidR="009F6D59" w:rsidRPr="00462C1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собственниками таких объектов самостоятельно при условии, что вывод таких объектов из эксплуатации не влечет препятствия </w:t>
            </w:r>
            <w:proofErr w:type="spellStart"/>
            <w:r w:rsidR="009F6D59" w:rsidRPr="00462C12">
              <w:rPr>
                <w:rFonts w:ascii="Times New Roman" w:hAnsi="Times New Roman" w:cs="Times New Roman"/>
                <w:sz w:val="24"/>
                <w:szCs w:val="24"/>
              </w:rPr>
              <w:t>перетоку</w:t>
            </w:r>
            <w:proofErr w:type="spellEnd"/>
            <w:r w:rsidR="009F6D59" w:rsidRPr="00462C12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электрической энергии на объекты электросетевого хозяйства или </w:t>
            </w:r>
            <w:proofErr w:type="spellStart"/>
            <w:r w:rsidR="009F6D59" w:rsidRPr="00462C12">
              <w:rPr>
                <w:rFonts w:ascii="Times New Roman" w:hAnsi="Times New Roman" w:cs="Times New Roman"/>
                <w:sz w:val="24"/>
                <w:szCs w:val="24"/>
              </w:rPr>
              <w:t>энергопринимающие</w:t>
            </w:r>
            <w:proofErr w:type="spellEnd"/>
            <w:r w:rsidR="009F6D59" w:rsidRPr="00462C12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устройства, принадлежащие другим лицам, и не приводит к нарушению условий электроснабжения как это установлено п. 184 «Правил вывода объектов электроэнергетики в ремонт и из эксплуатации», утверждённых Постановлением Правительства РФ от 30.01.2021 №86 (далее - Правила №86).</w:t>
            </w:r>
          </w:p>
          <w:p w:rsidR="009F6D59" w:rsidRPr="00462C12" w:rsidRDefault="001F7C2B" w:rsidP="009F6D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F6D59" w:rsidRPr="00462C12">
              <w:rPr>
                <w:rFonts w:ascii="Times New Roman" w:hAnsi="Times New Roman" w:cs="Times New Roman"/>
                <w:sz w:val="24"/>
                <w:szCs w:val="24"/>
              </w:rPr>
              <w:t xml:space="preserve"> силу </w:t>
            </w:r>
            <w:proofErr w:type="spellStart"/>
            <w:r w:rsidR="009F6D59" w:rsidRPr="00462C1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9F6D59" w:rsidRPr="00462C12">
              <w:rPr>
                <w:rFonts w:ascii="Times New Roman" w:hAnsi="Times New Roman" w:cs="Times New Roman"/>
                <w:sz w:val="24"/>
                <w:szCs w:val="24"/>
              </w:rPr>
              <w:t>. 185-186 Правил №86, при выводе из эксплуатации объектов электросетевого хозяйства предусматриваются мероприятия, направленные на сох</w:t>
            </w:r>
            <w:r w:rsidR="009F6D59">
              <w:rPr>
                <w:rFonts w:ascii="Times New Roman" w:hAnsi="Times New Roman" w:cs="Times New Roman"/>
                <w:sz w:val="24"/>
                <w:szCs w:val="24"/>
              </w:rPr>
              <w:t xml:space="preserve">ранение </w:t>
            </w:r>
            <w:proofErr w:type="gramStart"/>
            <w:r w:rsidR="009F6D59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существующих </w:t>
            </w:r>
            <w:r w:rsidR="009F6D59" w:rsidRPr="00462C12">
              <w:rPr>
                <w:rFonts w:ascii="Times New Roman" w:hAnsi="Times New Roman" w:cs="Times New Roman"/>
                <w:sz w:val="24"/>
                <w:szCs w:val="24"/>
              </w:rPr>
              <w:t>условий электроснабжения</w:t>
            </w:r>
            <w:proofErr w:type="gramEnd"/>
            <w:r w:rsidR="009F6D59" w:rsidRPr="00462C12">
              <w:rPr>
                <w:rFonts w:ascii="Times New Roman" w:hAnsi="Times New Roman" w:cs="Times New Roman"/>
                <w:sz w:val="24"/>
                <w:szCs w:val="24"/>
              </w:rPr>
              <w:t xml:space="preserve"> ранее присоединенных </w:t>
            </w:r>
            <w:proofErr w:type="spellStart"/>
            <w:r w:rsidR="009F6D59" w:rsidRPr="00462C12"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="009F6D59" w:rsidRPr="00462C12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граждан к электрическим сетям сетевой организации в порядке, определенном Правилами технологического присоединения. При этом расходы, связанные с реализацией таких мероприятий, несет собственник выводимых из эксплуатации объектов электросетевого хозяйства.</w:t>
            </w:r>
          </w:p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9F6D59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85 400,00</w:t>
            </w:r>
            <w:r w:rsidR="0058653C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 xml:space="preserve">в </w:t>
            </w:r>
            <w:proofErr w:type="spellStart"/>
            <w:r w:rsidR="007B6482">
              <w:rPr>
                <w:rStyle w:val="FontStyle62"/>
                <w:b/>
                <w:sz w:val="24"/>
              </w:rPr>
              <w:t>т.ч</w:t>
            </w:r>
            <w:proofErr w:type="spellEnd"/>
            <w:r w:rsidR="007B6482">
              <w:rPr>
                <w:rStyle w:val="FontStyle62"/>
                <w:b/>
                <w:sz w:val="24"/>
              </w:rPr>
              <w:t>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5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9F6D59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10.08</w:t>
            </w:r>
            <w:r w:rsidR="00681D2B">
              <w:rPr>
                <w:b/>
                <w:color w:val="000000"/>
              </w:rPr>
              <w:t>.2026</w:t>
            </w:r>
            <w:r w:rsidR="009A088F">
              <w:rPr>
                <w:rStyle w:val="FontStyle62"/>
                <w:b/>
                <w:sz w:val="24"/>
              </w:rPr>
              <w:t xml:space="preserve"> 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</w:t>
            </w:r>
            <w:proofErr w:type="spellStart"/>
            <w:r>
              <w:rPr>
                <w:rStyle w:val="FontStyle62"/>
                <w:sz w:val="24"/>
              </w:rPr>
              <w:t>местн</w:t>
            </w:r>
            <w:proofErr w:type="spellEnd"/>
            <w:r>
              <w:rPr>
                <w:rStyle w:val="FontStyle62"/>
                <w:sz w:val="24"/>
              </w:rPr>
              <w:t xml:space="preserve">. </w:t>
            </w:r>
            <w:proofErr w:type="spellStart"/>
            <w:r>
              <w:rPr>
                <w:rStyle w:val="FontStyle62"/>
                <w:sz w:val="24"/>
              </w:rPr>
              <w:t>вр</w:t>
            </w:r>
            <w:proofErr w:type="spellEnd"/>
            <w:r>
              <w:rPr>
                <w:rStyle w:val="FontStyle62"/>
                <w:sz w:val="24"/>
              </w:rPr>
              <w:t>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9F6D59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12.08</w:t>
            </w:r>
            <w:r w:rsidR="00681D2B">
              <w:rPr>
                <w:b/>
                <w:color w:val="000000"/>
              </w:rPr>
              <w:t>.2026</w:t>
            </w:r>
            <w:r w:rsidR="00816A85">
              <w:rPr>
                <w:rStyle w:val="FontStyle62"/>
                <w:b/>
                <w:sz w:val="24"/>
              </w:rPr>
              <w:t xml:space="preserve"> 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</w:t>
            </w:r>
            <w:proofErr w:type="spellStart"/>
            <w:r>
              <w:rPr>
                <w:rStyle w:val="FontStyle62"/>
                <w:sz w:val="24"/>
              </w:rPr>
              <w:t>местн</w:t>
            </w:r>
            <w:proofErr w:type="spellEnd"/>
            <w:r>
              <w:rPr>
                <w:rStyle w:val="FontStyle62"/>
                <w:sz w:val="24"/>
              </w:rPr>
              <w:t xml:space="preserve">. </w:t>
            </w:r>
            <w:proofErr w:type="spellStart"/>
            <w:r>
              <w:rPr>
                <w:rStyle w:val="FontStyle62"/>
                <w:sz w:val="24"/>
              </w:rPr>
              <w:t>вр</w:t>
            </w:r>
            <w:proofErr w:type="spellEnd"/>
            <w:r>
              <w:rPr>
                <w:rStyle w:val="FontStyle62"/>
                <w:sz w:val="24"/>
              </w:rPr>
              <w:t>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9F6D59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13.08</w:t>
            </w:r>
            <w:r w:rsidR="00681D2B">
              <w:rPr>
                <w:b/>
                <w:color w:val="000000"/>
              </w:rPr>
              <w:t>.2026</w:t>
            </w:r>
            <w:r w:rsidR="00C34218">
              <w:rPr>
                <w:rStyle w:val="FontStyle62"/>
                <w:b/>
                <w:sz w:val="24"/>
              </w:rPr>
              <w:t xml:space="preserve"> в 09</w:t>
            </w:r>
            <w:r w:rsidR="001932F1">
              <w:rPr>
                <w:rStyle w:val="FontStyle62"/>
                <w:b/>
                <w:sz w:val="24"/>
              </w:rPr>
              <w:t>ч.15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</w:t>
            </w:r>
            <w:proofErr w:type="spellStart"/>
            <w:r>
              <w:rPr>
                <w:rStyle w:val="FontStyle62"/>
                <w:sz w:val="24"/>
              </w:rPr>
              <w:t>местн</w:t>
            </w:r>
            <w:proofErr w:type="spellEnd"/>
            <w:r>
              <w:rPr>
                <w:rStyle w:val="FontStyle62"/>
                <w:sz w:val="24"/>
              </w:rPr>
              <w:t xml:space="preserve">. </w:t>
            </w:r>
            <w:proofErr w:type="spellStart"/>
            <w:r>
              <w:rPr>
                <w:rStyle w:val="FontStyle62"/>
                <w:sz w:val="24"/>
              </w:rPr>
              <w:t>вр</w:t>
            </w:r>
            <w:proofErr w:type="spellEnd"/>
            <w:r>
              <w:rPr>
                <w:rStyle w:val="FontStyle62"/>
                <w:sz w:val="24"/>
              </w:rPr>
              <w:t>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9F6D59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14.08</w:t>
            </w:r>
            <w:r w:rsidR="00681D2B">
              <w:rPr>
                <w:b/>
                <w:color w:val="000000"/>
              </w:rPr>
              <w:t>.2026</w:t>
            </w:r>
            <w:r w:rsidR="00851BD0">
              <w:rPr>
                <w:rStyle w:val="FontStyle62"/>
                <w:b/>
                <w:sz w:val="24"/>
              </w:rPr>
              <w:t xml:space="preserve"> 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</w:t>
            </w:r>
            <w:proofErr w:type="spellStart"/>
            <w:r>
              <w:rPr>
                <w:rStyle w:val="FontStyle62"/>
                <w:sz w:val="24"/>
              </w:rPr>
              <w:t>местн</w:t>
            </w:r>
            <w:proofErr w:type="spellEnd"/>
            <w:r>
              <w:rPr>
                <w:rStyle w:val="FontStyle62"/>
                <w:sz w:val="24"/>
              </w:rPr>
              <w:t xml:space="preserve">. </w:t>
            </w:r>
            <w:proofErr w:type="spellStart"/>
            <w:r>
              <w:rPr>
                <w:rStyle w:val="FontStyle62"/>
                <w:sz w:val="24"/>
              </w:rPr>
              <w:t>вр</w:t>
            </w:r>
            <w:proofErr w:type="spellEnd"/>
            <w:r>
              <w:rPr>
                <w:rStyle w:val="FontStyle62"/>
                <w:sz w:val="24"/>
              </w:rPr>
              <w:t>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</w:t>
            </w:r>
            <w:r w:rsidR="00512CFA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Уфа»-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Лукманову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Росфинмониторинг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B4D" w:rsidRDefault="00E41B4D">
      <w:pPr>
        <w:spacing w:after="0" w:line="240" w:lineRule="auto"/>
      </w:pPr>
      <w:r>
        <w:separator/>
      </w:r>
    </w:p>
  </w:endnote>
  <w:endnote w:type="continuationSeparator" w:id="0">
    <w:p w:rsidR="00E41B4D" w:rsidRDefault="00E4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B4D" w:rsidRDefault="00E41B4D">
      <w:pPr>
        <w:spacing w:after="0" w:line="240" w:lineRule="auto"/>
      </w:pPr>
      <w:r>
        <w:separator/>
      </w:r>
    </w:p>
  </w:footnote>
  <w:footnote w:type="continuationSeparator" w:id="0">
    <w:p w:rsidR="00E41B4D" w:rsidRDefault="00E41B4D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0F377D"/>
    <w:rsid w:val="00106507"/>
    <w:rsid w:val="001209BD"/>
    <w:rsid w:val="00140848"/>
    <w:rsid w:val="00165F20"/>
    <w:rsid w:val="001746DE"/>
    <w:rsid w:val="00177C22"/>
    <w:rsid w:val="0019272B"/>
    <w:rsid w:val="001932F1"/>
    <w:rsid w:val="001A5F6E"/>
    <w:rsid w:val="001E1704"/>
    <w:rsid w:val="001F7C2B"/>
    <w:rsid w:val="002009AA"/>
    <w:rsid w:val="00206128"/>
    <w:rsid w:val="0021374E"/>
    <w:rsid w:val="0023338D"/>
    <w:rsid w:val="00247690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C4F28"/>
    <w:rsid w:val="003E157B"/>
    <w:rsid w:val="00453013"/>
    <w:rsid w:val="00455426"/>
    <w:rsid w:val="00485BC5"/>
    <w:rsid w:val="00493CC5"/>
    <w:rsid w:val="004A3A10"/>
    <w:rsid w:val="004C4E7F"/>
    <w:rsid w:val="004D45FD"/>
    <w:rsid w:val="004D7388"/>
    <w:rsid w:val="005110AA"/>
    <w:rsid w:val="00512CFA"/>
    <w:rsid w:val="0051320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51555"/>
    <w:rsid w:val="006557B7"/>
    <w:rsid w:val="00656637"/>
    <w:rsid w:val="00681D2B"/>
    <w:rsid w:val="006874F4"/>
    <w:rsid w:val="00690B90"/>
    <w:rsid w:val="006F695B"/>
    <w:rsid w:val="006F6F7F"/>
    <w:rsid w:val="00712104"/>
    <w:rsid w:val="0071258F"/>
    <w:rsid w:val="00713454"/>
    <w:rsid w:val="00714E8F"/>
    <w:rsid w:val="00733EDD"/>
    <w:rsid w:val="00736F43"/>
    <w:rsid w:val="00747272"/>
    <w:rsid w:val="00775E67"/>
    <w:rsid w:val="00786664"/>
    <w:rsid w:val="007966E2"/>
    <w:rsid w:val="007B6482"/>
    <w:rsid w:val="007B7BF9"/>
    <w:rsid w:val="007C3160"/>
    <w:rsid w:val="007C6C8E"/>
    <w:rsid w:val="00811E14"/>
    <w:rsid w:val="00816A8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E1321"/>
    <w:rsid w:val="008F5DC0"/>
    <w:rsid w:val="00911BE5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9F6D59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E3F62"/>
    <w:rsid w:val="00AF015A"/>
    <w:rsid w:val="00B03B4F"/>
    <w:rsid w:val="00B04721"/>
    <w:rsid w:val="00B161C1"/>
    <w:rsid w:val="00B912DC"/>
    <w:rsid w:val="00B953A4"/>
    <w:rsid w:val="00BA3547"/>
    <w:rsid w:val="00BA4BC0"/>
    <w:rsid w:val="00BB3385"/>
    <w:rsid w:val="00BD2967"/>
    <w:rsid w:val="00BD391A"/>
    <w:rsid w:val="00BF06BF"/>
    <w:rsid w:val="00BF0BAB"/>
    <w:rsid w:val="00C00B8D"/>
    <w:rsid w:val="00C34218"/>
    <w:rsid w:val="00C4287F"/>
    <w:rsid w:val="00C47BAD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7F1E"/>
    <w:rsid w:val="00D81859"/>
    <w:rsid w:val="00D91D78"/>
    <w:rsid w:val="00D94753"/>
    <w:rsid w:val="00DB52D5"/>
    <w:rsid w:val="00DB7E42"/>
    <w:rsid w:val="00DC065B"/>
    <w:rsid w:val="00DC0BE2"/>
    <w:rsid w:val="00DD1AA1"/>
    <w:rsid w:val="00DD4AAA"/>
    <w:rsid w:val="00E00BE0"/>
    <w:rsid w:val="00E31625"/>
    <w:rsid w:val="00E31E17"/>
    <w:rsid w:val="00E41B4D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50176"/>
    <w:rsid w:val="00F515F8"/>
    <w:rsid w:val="00F51D39"/>
    <w:rsid w:val="00F65B10"/>
    <w:rsid w:val="00FA560C"/>
    <w:rsid w:val="00FD393F"/>
    <w:rsid w:val="00FD549F"/>
    <w:rsid w:val="00FD66D9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13" Type="http://schemas.openxmlformats.org/officeDocument/2006/relationships/hyperlink" Target="http://hghltd.yandex.net/yandbtm?text=%D0%B4%D0%BE%D0%B3%D0%BE%D0%B2%D0%BE%D1%80%20%D0%BD%D0%B0%20%D1%82%D0%B5%D1%85%D0%BD%D0%B8%D1%87%D0%B5%D1%81%D0%BA%D0%BE%D0%B5%20%D0%BE%D0%B1%D1%81%D0%BB%D1%83%D0%B6%D0%B8%D0%B2%D0%B0%D0%BD%D0%B8%D0%B5%20%D1%8D%D0%BB%D0%B5%D0%BA%D1%82%D1%80%D0%BE%D1%83%D1%81%D1%82%D0%B0%D0%BD%D0%BE%D0%B2%D0%BE%D0%BA&amp;url=http%3A%2F%2Fzakupki.bashneft.ru%2Fresources%2Ffiles%2F0091%2FProekt_dog_obsluzh_BU0001.doc&amp;fmode=envelope&amp;lr=172&amp;l10n=ru&amp;mime=doc&amp;sign=d6c0ce374a444b5aa372e360613e80b6&amp;keyno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ghltd.yandex.net/yandbtm?text=%D0%B4%D0%BE%D0%B3%D0%BE%D0%B2%D0%BE%D1%80%20%D0%BD%D0%B0%20%D1%82%D0%B5%D1%85%D0%BD%D0%B8%D1%87%D0%B5%D1%81%D0%BA%D0%BE%D0%B5%20%D0%BE%D0%B1%D1%81%D0%BB%D1%83%D0%B6%D0%B8%D0%B2%D0%B0%D0%BD%D0%B8%D0%B5%20%D1%8D%D0%BB%D0%B5%D0%BA%D1%82%D1%80%D0%BE%D1%83%D1%81%D1%82%D0%B0%D0%BD%D0%BE%D0%B2%D0%BE%D0%BA&amp;url=http%3A%2F%2Fzakupki.bashneft.ru%2Fresources%2Ffiles%2F0091%2FProekt_dog_obsluzh_BU0001.doc&amp;fmode=envelope&amp;lr=172&amp;l10n=ru&amp;mime=doc&amp;sign=d6c0ce374a444b5aa372e360613e80b6&amp;keyno=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ghltd.yandex.net/yandbtm?text=%D0%B4%D0%BE%D0%B3%D0%BE%D0%B2%D0%BE%D1%80%20%D0%BD%D0%B0%20%D1%82%D0%B5%D1%85%D0%BD%D0%B8%D1%87%D0%B5%D1%81%D0%BA%D0%BE%D0%B5%20%D0%BE%D0%B1%D1%81%D0%BB%D1%83%D0%B6%D0%B8%D0%B2%D0%B0%D0%BD%D0%B8%D0%B5%20%D1%8D%D0%BB%D0%B5%D0%BA%D1%82%D1%80%D0%BE%D1%83%D1%81%D1%82%D0%B0%D0%BD%D0%BE%D0%B2%D0%BE%D0%BA&amp;url=http%3A%2F%2Fzakupki.bashneft.ru%2Fresources%2Ffiles%2F0091%2FProekt_dog_obsluzh_BU0001.doc&amp;fmode=envelope&amp;lr=172&amp;l10n=ru&amp;mime=doc&amp;sign=d6c0ce374a444b5aa372e360613e80b6&amp;keyno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ashgaz.ru/" TargetMode="External"/><Relationship Id="rId10" Type="http://schemas.openxmlformats.org/officeDocument/2006/relationships/hyperlink" Target="http://hghltd.yandex.net/yandbtm?text=%D0%B4%D0%BE%D0%B3%D0%BE%D0%B2%D0%BE%D1%80%20%D0%BD%D0%B0%20%D1%82%D0%B5%D1%85%D0%BD%D0%B8%D1%87%D0%B5%D1%81%D0%BA%D0%BE%D0%B5%20%D0%BE%D0%B1%D1%81%D0%BB%D1%83%D0%B6%D0%B8%D0%B2%D0%B0%D0%BD%D0%B8%D0%B5%20%D1%8D%D0%BB%D0%B5%D0%BA%D1%82%D1%80%D0%BE%D1%83%D1%81%D1%82%D0%B0%D0%BD%D0%BE%D0%B2%D0%BE%D0%BA&amp;url=http%3A%2F%2Fzakupki.bashneft.ru%2Fresources%2Ffiles%2F0091%2FProekt_dog_obsluzh_BU0001.doc&amp;fmode=envelope&amp;lr=172&amp;l10n=ru&amp;mime=doc&amp;sign=d6c0ce374a444b5aa372e360613e80b6&amp;keyno=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uhov.se@bashgaz.ru" TargetMode="External"/><Relationship Id="rId14" Type="http://schemas.openxmlformats.org/officeDocument/2006/relationships/hyperlink" Target="http://hghltd.yandex.net/yandbtm?text=%D0%B4%D0%BE%D0%B3%D0%BE%D0%B2%D0%BE%D1%80%20%D0%BD%D0%B0%20%D1%82%D0%B5%D1%85%D0%BD%D0%B8%D1%87%D0%B5%D1%81%D0%BA%D0%BE%D0%B5%20%D0%BE%D0%B1%D1%81%D0%BB%D1%83%D0%B6%D0%B8%D0%B2%D0%B0%D0%BD%D0%B8%D0%B5%20%D1%8D%D0%BB%D0%B5%D0%BA%D1%82%D1%80%D0%BE%D1%83%D1%81%D1%82%D0%B0%D0%BD%D0%BE%D0%B2%D0%BE%D0%BA&amp;url=http%3A%2F%2Fzakupki.bashneft.ru%2Fresources%2Ffiles%2F0091%2FProekt_dog_obsluzh_BU0001.doc&amp;fmode=envelope&amp;lr=172&amp;l10n=ru&amp;mime=doc&amp;sign=d6c0ce374a444b5aa372e360613e80b6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16C7F-6254-4EAC-8FD7-24715E57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12</Pages>
  <Words>3297</Words>
  <Characters>18794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5</cp:revision>
  <dcterms:created xsi:type="dcterms:W3CDTF">2026-07-23T06:39:00Z</dcterms:created>
  <dcterms:modified xsi:type="dcterms:W3CDTF">2026-07-23T07:41:00Z</dcterms:modified>
</cp:coreProperties>
</file>