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Caption"/>
        <w:rPr>
          <w:sz w:val="22"/>
          <w:szCs w:val="22"/>
        </w:rPr>
      </w:pPr>
      <w:r>
        <w:rPr>
          <w:sz w:val="22"/>
          <w:szCs w:val="22"/>
        </w:rPr>
        <w:t>АКТ</w:t>
      </w:r>
    </w:p>
    <w:p>
      <w:pPr>
        <w:pStyle w:val="Subtitle"/>
        <w:rPr>
          <w:sz w:val="22"/>
          <w:szCs w:val="22"/>
        </w:rPr>
      </w:pPr>
      <w:r>
        <w:rPr>
          <w:sz w:val="22"/>
          <w:szCs w:val="22"/>
        </w:rPr>
        <w:t xml:space="preserve">Технического осмотра транспортного средства </w:t>
      </w:r>
    </w:p>
    <w:p>
      <w:pPr>
        <w:pStyle w:val="Heading1"/>
        <w:rPr>
          <w:sz w:val="22"/>
          <w:szCs w:val="22"/>
        </w:rPr>
      </w:pPr>
      <w:r>
        <w:rPr>
          <w:sz w:val="22"/>
          <w:szCs w:val="22"/>
        </w:rPr>
        <w:t>Составлен «</w:t>
      </w:r>
      <w:r>
        <w:rPr>
          <w:sz w:val="22"/>
          <w:szCs w:val="22"/>
          <w:u w:val="none"/>
        </w:rPr>
        <w:t>___</w:t>
      </w:r>
      <w:r>
        <w:rPr>
          <w:sz w:val="22"/>
          <w:szCs w:val="22"/>
        </w:rPr>
        <w:t>» ___________ 20</w:t>
      </w:r>
      <w:r>
        <w:rPr>
          <w:sz w:val="22"/>
          <w:szCs w:val="22"/>
        </w:rPr>
        <w:t>26</w:t>
      </w:r>
      <w:r>
        <w:rPr>
          <w:sz w:val="22"/>
          <w:szCs w:val="22"/>
        </w:rPr>
        <w:t xml:space="preserve"> года</w:t>
      </w:r>
    </w:p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</w:r>
    </w:p>
    <w:tbl>
      <w:tblPr>
        <w:tblW w:w="10208" w:type="dxa"/>
        <w:jc w:val="left"/>
        <w:tblInd w:w="-137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4a0" w:noHBand="0" w:noVBand="1" w:firstColumn="1" w:lastRow="0" w:lastColumn="0" w:firstRow="1"/>
      </w:tblPr>
      <w:tblGrid>
        <w:gridCol w:w="5104"/>
        <w:gridCol w:w="5103"/>
      </w:tblGrid>
      <w:tr>
        <w:trPr>
          <w:trHeight w:val="244" w:hRule="atLeast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Heading3"/>
              <w:rPr>
                <w:rFonts w:eastAsia="Arial Unicode MS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Марка, модель ТС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Heading4"/>
              <w:jc w:val="center"/>
              <w:rPr>
                <w:rFonts w:ascii="Times New Roman" w:hAnsi="Times New Roman" w:eastAsia="Arial Unicode MS"/>
                <w:b/>
                <w:i w:val="false"/>
                <w:i w:val="false"/>
                <w:color w:val="000000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b/>
                <w:i w:val="false"/>
                <w:color w:val="000000"/>
                <w:sz w:val="24"/>
                <w:szCs w:val="24"/>
              </w:rPr>
              <w:t>LADA, 212140</w:t>
            </w:r>
          </w:p>
        </w:tc>
      </w:tr>
      <w:tr>
        <w:trPr>
          <w:trHeight w:val="377" w:hRule="atLeast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Heading5"/>
              <w:rPr>
                <w:rFonts w:ascii="Times New Roman" w:hAnsi="Times New Roman" w:eastAsia="Arial Unicode MS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/>
                <w:sz w:val="24"/>
                <w:szCs w:val="24"/>
              </w:rPr>
              <w:t>Государственный регистрационный знак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Heading4"/>
              <w:jc w:val="center"/>
              <w:rPr>
                <w:rFonts w:ascii="Times New Roman" w:hAnsi="Times New Roman" w:eastAsia="Arial Unicode MS"/>
                <w:b/>
                <w:i w:val="false"/>
                <w:i w:val="false"/>
                <w:color w:val="000000"/>
                <w:sz w:val="24"/>
                <w:szCs w:val="24"/>
                <w:lang w:val="en-US"/>
              </w:rPr>
            </w:pPr>
            <w:r>
              <w:rPr>
                <w:rFonts w:eastAsia="Arial Unicode MS" w:ascii="Times New Roman" w:hAnsi="Times New Roman"/>
                <w:b/>
                <w:i w:val="false"/>
                <w:color w:val="000000"/>
                <w:sz w:val="24"/>
                <w:szCs w:val="24"/>
              </w:rPr>
              <w:t>О</w:t>
            </w:r>
            <w:r>
              <w:rPr>
                <w:rFonts w:eastAsia="Arial Unicode MS" w:ascii="Times New Roman" w:hAnsi="Times New Roman"/>
                <w:b/>
                <w:i w:val="false"/>
                <w:color w:val="000000"/>
                <w:sz w:val="24"/>
                <w:szCs w:val="24"/>
              </w:rPr>
              <w:t>014ТР102</w:t>
            </w:r>
          </w:p>
        </w:tc>
      </w:tr>
      <w:tr>
        <w:trPr>
          <w:trHeight w:val="355" w:hRule="atLeast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Heading5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/>
                <w:sz w:val="24"/>
                <w:szCs w:val="24"/>
              </w:rPr>
              <w:t>Инвентарный номер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Heading4"/>
              <w:jc w:val="center"/>
              <w:rPr>
                <w:rFonts w:ascii="Times New Roman" w:hAnsi="Times New Roman" w:eastAsia="Arial Unicode MS"/>
                <w:b/>
                <w:i w:val="false"/>
                <w:i w:val="false"/>
                <w:color w:val="000000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b/>
                <w:i w:val="false"/>
                <w:color w:val="000000"/>
                <w:sz w:val="24"/>
                <w:szCs w:val="24"/>
              </w:rPr>
              <w:t>14-1616</w:t>
            </w:r>
          </w:p>
        </w:tc>
      </w:tr>
      <w:tr>
        <w:trPr>
          <w:trHeight w:val="300" w:hRule="atLeast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eastAsia="Arial Unicode MS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Идентификационный номер (VIN)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Heading4"/>
              <w:jc w:val="center"/>
              <w:rPr>
                <w:rFonts w:ascii="Times New Roman" w:hAnsi="Times New Roman" w:eastAsia="Arial Unicode MS"/>
                <w:b/>
                <w:i w:val="false"/>
                <w:i w:val="false"/>
                <w:color w:val="000000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b/>
                <w:i w:val="false"/>
                <w:color w:val="000000"/>
                <w:sz w:val="24"/>
                <w:szCs w:val="24"/>
                <w:lang w:val="en-US"/>
              </w:rPr>
              <w:t>XTA21214</w:t>
            </w:r>
            <w:r>
              <w:rPr>
                <w:rFonts w:eastAsia="Arial Unicode MS" w:ascii="Times New Roman" w:hAnsi="Times New Roman"/>
                <w:b/>
                <w:i w:val="false"/>
                <w:color w:val="000000"/>
                <w:sz w:val="24"/>
                <w:szCs w:val="24"/>
                <w:lang w:val="en-US"/>
              </w:rPr>
              <w:t>0D2130618</w:t>
            </w:r>
          </w:p>
        </w:tc>
      </w:tr>
      <w:tr>
        <w:trPr>
          <w:trHeight w:val="341" w:hRule="atLeast"/>
          <w:cantSplit w:val="true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eastAsia="Arial Unicode MS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Год выпуска ТС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eastAsia="Arial Unicode MS"/>
                <w:b/>
                <w:sz w:val="24"/>
                <w:szCs w:val="24"/>
              </w:rPr>
            </w:pPr>
            <w:r>
              <w:rPr>
                <w:rFonts w:eastAsia="Arial Unicode MS"/>
                <w:b/>
                <w:sz w:val="24"/>
                <w:szCs w:val="24"/>
              </w:rPr>
              <w:t>201</w:t>
            </w:r>
            <w:r>
              <w:rPr>
                <w:rFonts w:eastAsia="Arial Unicode MS"/>
                <w:b/>
                <w:sz w:val="24"/>
                <w:szCs w:val="24"/>
              </w:rPr>
              <w:t>3</w:t>
            </w:r>
          </w:p>
        </w:tc>
      </w:tr>
      <w:tr>
        <w:trPr>
          <w:trHeight w:val="90" w:hRule="atLeast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eastAsia="Arial Unicode MS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Модель, № двигателя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eastAsia="Arial Unicode MS"/>
                <w:b/>
                <w:sz w:val="24"/>
                <w:szCs w:val="24"/>
              </w:rPr>
            </w:pPr>
            <w:r>
              <w:rPr>
                <w:rFonts w:eastAsia="Arial Unicode MS"/>
                <w:b/>
                <w:sz w:val="24"/>
                <w:szCs w:val="24"/>
                <w:lang w:val="en-US"/>
              </w:rPr>
              <w:t xml:space="preserve">21214, </w:t>
            </w:r>
            <w:r>
              <w:rPr>
                <w:rFonts w:eastAsia="Arial Unicode MS"/>
                <w:b/>
                <w:sz w:val="24"/>
                <w:szCs w:val="24"/>
                <w:lang w:val="en-US"/>
              </w:rPr>
              <w:t>0002096</w:t>
            </w:r>
          </w:p>
        </w:tc>
      </w:tr>
      <w:tr>
        <w:trPr>
          <w:trHeight w:val="255" w:hRule="atLeast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eastAsia="Arial Unicode MS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Шасси, (рама) №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eastAsia="Arial Unicode MS"/>
                <w:b/>
                <w:sz w:val="24"/>
                <w:szCs w:val="24"/>
              </w:rPr>
            </w:pPr>
            <w:r>
              <w:rPr>
                <w:rFonts w:eastAsia="Arial Unicode MS"/>
                <w:b/>
                <w:sz w:val="24"/>
                <w:szCs w:val="24"/>
              </w:rPr>
              <w:t>ОТСУТСТВУЕТ</w:t>
            </w:r>
          </w:p>
        </w:tc>
      </w:tr>
      <w:tr>
        <w:trPr>
          <w:trHeight w:val="255" w:hRule="atLeast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eastAsia="Arial Unicode MS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Кузов, (прицеп) №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Heading4"/>
              <w:jc w:val="center"/>
              <w:rPr>
                <w:rFonts w:ascii="Times New Roman" w:hAnsi="Times New Roman" w:eastAsia="Arial Unicode MS"/>
                <w:b/>
                <w:i w:val="false"/>
                <w:i w:val="false"/>
                <w:color w:val="000000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b/>
                <w:i w:val="false"/>
                <w:color w:val="000000"/>
                <w:sz w:val="24"/>
                <w:szCs w:val="24"/>
                <w:lang w:val="en-US"/>
              </w:rPr>
              <w:t>XTA21214</w:t>
            </w:r>
            <w:r>
              <w:rPr>
                <w:rFonts w:eastAsia="Arial Unicode MS" w:ascii="Times New Roman" w:hAnsi="Times New Roman"/>
                <w:b/>
                <w:i w:val="false"/>
                <w:color w:val="000000"/>
                <w:sz w:val="24"/>
                <w:szCs w:val="24"/>
                <w:lang w:val="en-US"/>
              </w:rPr>
              <w:t>0D2130618</w:t>
            </w:r>
          </w:p>
        </w:tc>
      </w:tr>
      <w:tr>
        <w:trPr>
          <w:trHeight w:val="90" w:hRule="atLeast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eastAsia="Arial Unicode MS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Цвет кузова (кабины)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eastAsia="Arial Unicode MS"/>
                <w:b/>
                <w:sz w:val="24"/>
                <w:szCs w:val="24"/>
              </w:rPr>
            </w:pPr>
            <w:r>
              <w:rPr>
                <w:rFonts w:eastAsia="Arial Unicode MS"/>
                <w:b/>
                <w:sz w:val="24"/>
                <w:szCs w:val="24"/>
              </w:rPr>
              <w:t>ЯРКО-БЕЛЫЙ</w:t>
            </w:r>
          </w:p>
        </w:tc>
      </w:tr>
      <w:tr>
        <w:trPr>
          <w:trHeight w:val="360" w:hRule="atLeast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eastAsia="Arial Unicode MS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Паспорт транспортного средства (ПТС)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Heading4"/>
              <w:jc w:val="center"/>
              <w:rPr>
                <w:rFonts w:ascii="Times New Roman" w:hAnsi="Times New Roman" w:eastAsia="Arial Unicode MS"/>
                <w:b/>
                <w:i w:val="false"/>
                <w:i w:val="false"/>
                <w:color w:val="000000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b/>
                <w:i w:val="false"/>
                <w:color w:val="000000"/>
                <w:sz w:val="24"/>
                <w:szCs w:val="24"/>
              </w:rPr>
              <w:t>63Н</w:t>
            </w:r>
            <w:r>
              <w:rPr>
                <w:rFonts w:eastAsia="Arial Unicode MS" w:ascii="Times New Roman" w:hAnsi="Times New Roman"/>
                <w:b/>
                <w:i w:val="false"/>
                <w:color w:val="000000"/>
                <w:sz w:val="24"/>
                <w:szCs w:val="24"/>
              </w:rPr>
              <w:t>С 579056</w:t>
            </w:r>
          </w:p>
        </w:tc>
      </w:tr>
      <w:tr>
        <w:trPr>
          <w:trHeight w:val="315" w:hRule="atLeast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Heading6"/>
              <w:ind w:hanging="0"/>
              <w:rPr>
                <w:rFonts w:ascii="Times New Roman" w:hAnsi="Times New Roman" w:eastAsia="Arial Unicode MS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/>
                <w:sz w:val="24"/>
                <w:szCs w:val="24"/>
              </w:rPr>
              <w:t>Свидетельство о регистрации ТС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Heading4"/>
              <w:jc w:val="center"/>
              <w:rPr>
                <w:rFonts w:ascii="Times New Roman" w:hAnsi="Times New Roman" w:eastAsia="Arial Unicode MS"/>
                <w:b/>
                <w:i w:val="false"/>
                <w:i w:val="false"/>
                <w:color w:val="000000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b/>
                <w:i w:val="false"/>
                <w:color w:val="000000"/>
                <w:sz w:val="24"/>
                <w:szCs w:val="24"/>
              </w:rPr>
              <w:t>99</w:t>
            </w:r>
            <w:r>
              <w:rPr>
                <w:rFonts w:eastAsia="Arial Unicode MS" w:ascii="Times New Roman" w:hAnsi="Times New Roman"/>
                <w:b/>
                <w:i w:val="false"/>
                <w:color w:val="000000"/>
                <w:sz w:val="24"/>
                <w:szCs w:val="24"/>
              </w:rPr>
              <w:t>38 736733</w:t>
            </w:r>
          </w:p>
        </w:tc>
      </w:tr>
      <w:tr>
        <w:trPr>
          <w:trHeight w:val="315" w:hRule="atLeast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Heading6"/>
              <w:ind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/>
                <w:sz w:val="24"/>
                <w:szCs w:val="24"/>
              </w:rPr>
              <w:t>Балансовая стоимость, руб.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Heading4"/>
              <w:jc w:val="center"/>
              <w:rPr>
                <w:rFonts w:ascii="Times New Roman" w:hAnsi="Times New Roman"/>
                <w:b/>
                <w:i w:val="false"/>
                <w:i w:val="false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  <w:szCs w:val="24"/>
              </w:rPr>
              <w:t>304488,15</w:t>
            </w:r>
          </w:p>
        </w:tc>
      </w:tr>
      <w:tr>
        <w:trPr>
          <w:trHeight w:val="315" w:hRule="atLeast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Heading6"/>
              <w:ind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/>
                <w:sz w:val="24"/>
                <w:szCs w:val="24"/>
              </w:rPr>
              <w:t>Остаточная стоимость, руб.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Heading4"/>
              <w:jc w:val="center"/>
              <w:rPr>
                <w:rFonts w:ascii="Times New Roman" w:hAnsi="Times New Roman"/>
                <w:b/>
                <w:i w:val="false"/>
                <w:i w:val="false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  <w:szCs w:val="24"/>
              </w:rPr>
              <w:t>53252,39</w:t>
            </w:r>
          </w:p>
        </w:tc>
      </w:tr>
      <w:tr>
        <w:trPr>
          <w:trHeight w:val="315" w:hRule="atLeast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Heading6"/>
              <w:ind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/>
                <w:sz w:val="24"/>
                <w:szCs w:val="24"/>
              </w:rPr>
              <w:t>Пробег (показание одометра) км.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Heading4"/>
              <w:jc w:val="center"/>
              <w:rPr>
                <w:rFonts w:ascii="Times New Roman" w:hAnsi="Times New Roman"/>
                <w:b/>
                <w:i w:val="false"/>
                <w:i w:val="false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  <w:szCs w:val="24"/>
              </w:rPr>
              <w:t>235939</w:t>
            </w:r>
          </w:p>
        </w:tc>
      </w:tr>
    </w:tbl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  <w:t xml:space="preserve">Принадлежность транспортного средства: </w:t>
      </w:r>
      <w:r>
        <w:rPr>
          <w:sz w:val="22"/>
          <w:szCs w:val="22"/>
          <w:u w:val="single"/>
        </w:rPr>
        <w:t>филиал ПАО «Газпром газораспределение Уфа» в г. Бирске</w:t>
      </w:r>
    </w:p>
    <w:p>
      <w:pPr>
        <w:pStyle w:val="Normal"/>
        <w:rPr>
          <w:sz w:val="22"/>
          <w:szCs w:val="22"/>
          <w:u w:val="single"/>
        </w:rPr>
      </w:pPr>
      <w:r>
        <w:rPr>
          <w:sz w:val="22"/>
          <w:szCs w:val="22"/>
        </w:rPr>
        <w:t xml:space="preserve">Адрес владельца </w:t>
      </w:r>
      <w:r>
        <w:rPr>
          <w:sz w:val="22"/>
          <w:szCs w:val="22"/>
          <w:u w:val="single"/>
        </w:rPr>
        <w:t>452451, Республика Башкортостан, г. Бирск, ул. Бурновская, дом 12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  <w:t xml:space="preserve">В результате визуального осмотра установлено: 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  <w:t xml:space="preserve">1. Заменены следующие агрегаты базовой комплектации:  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  <w:t>_</w:t>
      </w:r>
      <w:r>
        <w:rPr>
          <w:sz w:val="22"/>
          <w:szCs w:val="22"/>
          <w:u w:val="single"/>
        </w:rPr>
        <w:t>нет</w:t>
      </w:r>
      <w:r>
        <w:rPr>
          <w:sz w:val="22"/>
          <w:szCs w:val="22"/>
        </w:rPr>
        <w:t xml:space="preserve">_______________________________________________________________________________________2. Проведено переоборудование с заменой базовых агрегатов: 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  <w:t>_</w:t>
      </w:r>
      <w:r>
        <w:rPr>
          <w:sz w:val="22"/>
          <w:szCs w:val="22"/>
          <w:u w:val="single"/>
        </w:rPr>
        <w:t>нет</w:t>
      </w:r>
      <w:r>
        <w:rPr>
          <w:sz w:val="22"/>
          <w:szCs w:val="22"/>
        </w:rPr>
        <w:t>_______________________________________________________________________________________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  <w:t xml:space="preserve">3. Дополнительно установленное оборудование: 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  <w:t>__</w:t>
      </w:r>
      <w:r>
        <w:rPr>
          <w:sz w:val="22"/>
          <w:szCs w:val="22"/>
          <w:u w:val="single"/>
        </w:rPr>
        <w:t>нет</w:t>
      </w:r>
      <w:r>
        <w:rPr>
          <w:sz w:val="22"/>
          <w:szCs w:val="22"/>
        </w:rPr>
        <w:t>______________________________________________________________________________________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  <w:t xml:space="preserve">4. Отсутствуют следующие агрегаты базовой комплектации: 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  <w:t xml:space="preserve">5. Эксплуатационные дефекты: </w:t>
      </w:r>
    </w:p>
    <w:p>
      <w:pPr>
        <w:pStyle w:val="BodyText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  <w:t>Двигатель: износ цилиндро-поршневой группы, износ газораспределительного механизма, износ кривошипно-шатунного механизма, коррозия головки блока цилиндров, требуется текущий ремонт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  <w:t>Трансмиссия: износ подшипников, шестерен, валов, синхронизаторов КПП; износ подшипников, валов раздаточной коробки; износ подшипников переднего, заднего моста; износ крестовин, шлицевой части карданных валов; износ шрусов переднего моста, требуется текущий ремонт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  <w:t>Ходовая часть: износ втулок реактивных тяг заднего моста; износ втулок, шаровых опор передней подвески; износ наконечников рулевых тяг; износ автошин, требуется текущий ремонт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</w:t>
      </w:r>
    </w:p>
    <w:p>
      <w:pPr>
        <w:pStyle w:val="BodyText"/>
        <w:rPr>
          <w:sz w:val="22"/>
          <w:szCs w:val="22"/>
        </w:rPr>
      </w:pPr>
      <w:r>
        <w:rPr>
          <w:sz w:val="22"/>
          <w:szCs w:val="22"/>
        </w:rPr>
        <w:t>Салон: сквозная коррозия кузова (ржавчины, сколы, трещины), износ обшивки салона, трещины каркаса сидений, требуется текущий ремонт</w:t>
      </w:r>
    </w:p>
    <w:p>
      <w:pPr>
        <w:pStyle w:val="BodyText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__________________________________________________________________________________________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Директор филиала __________________________________/ </w:t>
      </w:r>
      <w:r>
        <w:rPr>
          <w:sz w:val="24"/>
          <w:szCs w:val="24"/>
          <w:u w:val="single"/>
        </w:rPr>
        <w:t xml:space="preserve">В.А. Кулагин </w:t>
      </w:r>
      <w:r>
        <w:rPr>
          <w:sz w:val="24"/>
          <w:szCs w:val="24"/>
        </w:rPr>
        <w:t>/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Начальник транспортной службы _____________________/ </w:t>
      </w:r>
      <w:r>
        <w:rPr>
          <w:sz w:val="24"/>
          <w:szCs w:val="24"/>
          <w:u w:val="single"/>
        </w:rPr>
        <w:t>А.И. Самойлов</w:t>
      </w:r>
      <w:r>
        <w:rPr>
          <w:sz w:val="24"/>
          <w:szCs w:val="24"/>
        </w:rPr>
        <w:t>/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М.П.</w:t>
      </w:r>
    </w:p>
    <w:p>
      <w:pPr>
        <w:pStyle w:val="Normal"/>
        <w:rPr/>
      </w:pPr>
      <w:r>
        <w:rPr/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Представитель организация-оценщик   _______________/ ________________________________/</w:t>
      </w:r>
    </w:p>
    <w:sectPr>
      <w:footerReference w:type="even" r:id="rId2"/>
      <w:footerReference w:type="default" r:id="rId3"/>
      <w:footerReference w:type="first" r:id="rId4"/>
      <w:type w:val="nextPage"/>
      <w:pgSz w:w="11906" w:h="16838"/>
      <w:pgMar w:left="1134" w:right="708" w:gutter="0" w:header="0" w:top="426" w:footer="510" w:bottom="567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Arial">
    <w:charset w:val="01"/>
    <w:family w:val="roman"/>
    <w:pitch w:val="variable"/>
  </w:font>
  <w:font w:name="Open Sans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oot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right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oot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</w:r>
  </w:p>
</w:ftr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ahoma" w:cs="Lohit Devanagari"/>
        <w:lang w:val="ru-RU" w:eastAsia="zh-CN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ahoma" w:cs="Lohit Devanagari"/>
      <w:color w:val="auto"/>
      <w:kern w:val="0"/>
      <w:sz w:val="20"/>
      <w:szCs w:val="20"/>
      <w:lang w:val="ru-RU" w:eastAsia="ru-RU" w:bidi="ar-SA"/>
    </w:rPr>
  </w:style>
  <w:style w:type="paragraph" w:styleId="Heading1">
    <w:name w:val="Heading 1"/>
    <w:basedOn w:val="Normal"/>
    <w:qFormat/>
    <w:pPr>
      <w:keepNext w:val="true"/>
      <w:jc w:val="center"/>
      <w:outlineLvl w:val="0"/>
    </w:pPr>
    <w:rPr>
      <w:sz w:val="24"/>
    </w:rPr>
  </w:style>
  <w:style w:type="paragraph" w:styleId="Heading2">
    <w:name w:val="Heading 2"/>
    <w:basedOn w:val="Normal"/>
    <w:qFormat/>
    <w:pPr>
      <w:keepNext w:val="true"/>
      <w:jc w:val="right"/>
      <w:outlineLvl w:val="1"/>
    </w:pPr>
    <w:rPr>
      <w:sz w:val="28"/>
    </w:rPr>
  </w:style>
  <w:style w:type="paragraph" w:styleId="Heading3">
    <w:name w:val="Heading 3"/>
    <w:basedOn w:val="Normal"/>
    <w:qFormat/>
    <w:pPr>
      <w:keepNext w:val="true"/>
      <w:outlineLvl w:val="2"/>
    </w:pPr>
    <w:rPr>
      <w:sz w:val="28"/>
    </w:rPr>
  </w:style>
  <w:style w:type="paragraph" w:styleId="Heading4">
    <w:name w:val="Heading 4"/>
    <w:basedOn w:val="Normal"/>
    <w:qFormat/>
    <w:pPr>
      <w:keepNext w:val="true"/>
      <w:jc w:val="right"/>
      <w:outlineLvl w:val="3"/>
    </w:pPr>
    <w:rPr>
      <w:rFonts w:ascii="Arial" w:hAnsi="Arial"/>
      <w:i/>
      <w:iCs/>
      <w:color w:val="0000FF"/>
      <w:sz w:val="28"/>
      <w:szCs w:val="14"/>
    </w:rPr>
  </w:style>
  <w:style w:type="paragraph" w:styleId="Heading5">
    <w:name w:val="Heading 5"/>
    <w:basedOn w:val="Normal"/>
    <w:qFormat/>
    <w:pPr>
      <w:keepNext w:val="true"/>
      <w:jc w:val="both"/>
      <w:outlineLvl w:val="4"/>
    </w:pPr>
    <w:rPr>
      <w:rFonts w:ascii="Arial" w:hAnsi="Arial"/>
      <w:sz w:val="28"/>
      <w:szCs w:val="14"/>
    </w:rPr>
  </w:style>
  <w:style w:type="paragraph" w:styleId="Heading6">
    <w:name w:val="Heading 6"/>
    <w:basedOn w:val="Normal"/>
    <w:qFormat/>
    <w:pPr>
      <w:keepNext w:val="true"/>
      <w:ind w:firstLine="280"/>
      <w:outlineLvl w:val="5"/>
    </w:pPr>
    <w:rPr>
      <w:rFonts w:ascii="Arial" w:hAnsi="Arial"/>
      <w:sz w:val="28"/>
      <w:szCs w:val="14"/>
    </w:rPr>
  </w:style>
  <w:style w:type="paragraph" w:styleId="Heading7">
    <w:name w:val="Heading 7"/>
    <w:basedOn w:val="Normal"/>
    <w:uiPriority w:val="9"/>
    <w:unhideWhenUsed/>
    <w:qFormat/>
    <w:pPr>
      <w:keepNext w:val="true"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Heading8">
    <w:name w:val="Heading 8"/>
    <w:basedOn w:val="Normal"/>
    <w:uiPriority w:val="9"/>
    <w:unhideWhenUsed/>
    <w:qFormat/>
    <w:pPr>
      <w:keepNext w:val="true"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Heading9">
    <w:name w:val="Heading 9"/>
    <w:basedOn w:val="Normal"/>
    <w:uiPriority w:val="9"/>
    <w:unhideWhenUsed/>
    <w:qFormat/>
    <w:pPr>
      <w:keepNext w:val="true"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Heading1Char">
    <w:name w:val="Heading 1 Char"/>
    <w:uiPriority w:val="9"/>
    <w:qFormat/>
    <w:rPr>
      <w:rFonts w:ascii="Arial" w:hAnsi="Arial" w:eastAsia="Arial" w:cs="Arial"/>
      <w:sz w:val="40"/>
      <w:szCs w:val="40"/>
    </w:rPr>
  </w:style>
  <w:style w:type="character" w:styleId="Heading2Char">
    <w:name w:val="Heading 2 Char"/>
    <w:uiPriority w:val="9"/>
    <w:qFormat/>
    <w:rPr>
      <w:rFonts w:ascii="Arial" w:hAnsi="Arial" w:eastAsia="Arial" w:cs="Arial"/>
      <w:sz w:val="34"/>
    </w:rPr>
  </w:style>
  <w:style w:type="character" w:styleId="Heading3Char">
    <w:name w:val="Heading 3 Char"/>
    <w:uiPriority w:val="9"/>
    <w:qFormat/>
    <w:rPr>
      <w:rFonts w:ascii="Arial" w:hAnsi="Arial" w:eastAsia="Arial" w:cs="Arial"/>
      <w:sz w:val="30"/>
      <w:szCs w:val="30"/>
    </w:rPr>
  </w:style>
  <w:style w:type="character" w:styleId="Heading4Char">
    <w:name w:val="Heading 4 Char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Heading5Char">
    <w:name w:val="Heading 5 Char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Heading6Char">
    <w:name w:val="Heading 6 Char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Heading7Char">
    <w:name w:val="Heading 7 Char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Heading8Char">
    <w:name w:val="Heading 8 Char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Heading9Char">
    <w:name w:val="Heading 9 Char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TitleChar">
    <w:name w:val="Title Char"/>
    <w:uiPriority w:val="10"/>
    <w:qFormat/>
    <w:rPr>
      <w:sz w:val="48"/>
      <w:szCs w:val="48"/>
    </w:rPr>
  </w:style>
  <w:style w:type="character" w:styleId="SubtitleChar">
    <w:name w:val="Subtitle Char"/>
    <w:uiPriority w:val="11"/>
    <w:qFormat/>
    <w:rPr>
      <w:sz w:val="24"/>
      <w:szCs w:val="24"/>
    </w:rPr>
  </w:style>
  <w:style w:type="character" w:styleId="QuoteChar">
    <w:name w:val="Quote Char"/>
    <w:uiPriority w:val="29"/>
    <w:qFormat/>
    <w:rPr>
      <w:i/>
    </w:rPr>
  </w:style>
  <w:style w:type="character" w:styleId="IntenseQuoteChar">
    <w:name w:val="Intense Quote Char"/>
    <w:uiPriority w:val="30"/>
    <w:qFormat/>
    <w:rPr>
      <w:i/>
    </w:rPr>
  </w:style>
  <w:style w:type="character" w:styleId="HeaderChar">
    <w:name w:val="Header Char"/>
    <w:uiPriority w:val="99"/>
    <w:qFormat/>
    <w:rPr/>
  </w:style>
  <w:style w:type="character" w:styleId="FooterChar">
    <w:name w:val="Footer Char"/>
    <w:uiPriority w:val="99"/>
    <w:qFormat/>
    <w:rPr/>
  </w:style>
  <w:style w:type="character" w:styleId="CaptionChar">
    <w:name w:val="Caption Char"/>
    <w:uiPriority w:val="99"/>
    <w:qFormat/>
    <w:rPr/>
  </w:style>
  <w:style w:type="character" w:styleId="Hyperlink">
    <w:name w:val="Hyperlink"/>
    <w:uiPriority w:val="99"/>
    <w:unhideWhenUsed/>
    <w:rPr>
      <w:color w:themeColor="hyperlink" w:val="0000FF"/>
      <w:u w:val="single"/>
    </w:rPr>
  </w:style>
  <w:style w:type="character" w:styleId="FootnoteTextChar">
    <w:name w:val="Footnote Text Char"/>
    <w:uiPriority w:val="99"/>
    <w:qFormat/>
    <w:rPr>
      <w:sz w:val="18"/>
    </w:rPr>
  </w:style>
  <w:style w:type="character" w:styleId="Style5">
    <w:name w:val="Символ сноски"/>
    <w:uiPriority w:val="99"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EndnoteTextChar">
    <w:name w:val="Endnote Text Char"/>
    <w:uiPriority w:val="99"/>
    <w:qFormat/>
    <w:rPr>
      <w:sz w:val="20"/>
    </w:rPr>
  </w:style>
  <w:style w:type="character" w:styleId="Style6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Style7">
    <w:name w:val="Основной шрифт абзаца"/>
    <w:semiHidden/>
    <w:qFormat/>
    <w:rPr/>
  </w:style>
  <w:style w:type="character" w:styleId="PageNumber">
    <w:name w:val="Page Number"/>
    <w:basedOn w:val="Style7"/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8">
    <w:name w:val="Заголовок"/>
    <w:basedOn w:val="Normal"/>
    <w:next w:val="BodyText"/>
    <w:qFormat/>
    <w:pPr>
      <w:keepNext w:val="true"/>
      <w:spacing w:before="240" w:after="120"/>
    </w:pPr>
    <w:rPr>
      <w:rFonts w:ascii="Open Sans" w:hAnsi="Open Sans" w:eastAsia="Tahoma" w:cs="Lohit Devanagari"/>
      <w:sz w:val="28"/>
      <w:szCs w:val="28"/>
    </w:rPr>
  </w:style>
  <w:style w:type="paragraph" w:styleId="BodyText">
    <w:name w:val="Body Text"/>
    <w:basedOn w:val="Normal"/>
    <w:pPr/>
    <w:rPr>
      <w:sz w:val="28"/>
    </w:rPr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jc w:val="center"/>
    </w:pPr>
    <w:rPr>
      <w:b/>
      <w:sz w:val="28"/>
    </w:rPr>
  </w:style>
  <w:style w:type="paragraph" w:styleId="Style9">
    <w:name w:val="Указатель"/>
    <w:basedOn w:val="Normal"/>
    <w:qFormat/>
    <w:pPr>
      <w:suppressLineNumbers/>
    </w:pPr>
    <w:rPr>
      <w:rFonts w:cs="Lohit Devanagari"/>
    </w:rPr>
  </w:style>
  <w:style w:type="paragraph" w:styleId="ListParagraph">
    <w:name w:val="List Paragraph"/>
    <w:basedOn w:val="Normal"/>
    <w:uiPriority w:val="34"/>
    <w:qFormat/>
    <w:pPr>
      <w:spacing w:before="0" w:after="0"/>
      <w:ind w:left="720"/>
      <w:contextualSpacing/>
    </w:pPr>
    <w:rPr/>
  </w:style>
  <w:style w:type="paragraph" w:styleId="NoSpacing">
    <w:name w:val="No Spacing"/>
    <w:uiPriority w:val="1"/>
    <w:qFormat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ahoma" w:cs="Lohit Devanagari"/>
      <w:color w:val="auto"/>
      <w:kern w:val="0"/>
      <w:sz w:val="20"/>
      <w:szCs w:val="20"/>
      <w:lang w:val="ru-RU" w:eastAsia="zh-CN" w:bidi="ar-SA"/>
    </w:rPr>
  </w:style>
  <w:style w:type="paragraph" w:styleId="Title">
    <w:name w:val="Title"/>
    <w:basedOn w:val="Normal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Subtitle">
    <w:name w:val="Subtitle"/>
    <w:basedOn w:val="Normal"/>
    <w:qFormat/>
    <w:pPr>
      <w:jc w:val="center"/>
    </w:pPr>
    <w:rPr>
      <w:sz w:val="32"/>
    </w:rPr>
  </w:style>
  <w:style w:type="paragraph" w:styleId="Quote">
    <w:name w:val="Quote"/>
    <w:basedOn w:val="Normal"/>
    <w:uiPriority w:val="29"/>
    <w:qFormat/>
    <w:pPr>
      <w:ind w:left="720" w:right="720"/>
    </w:pPr>
    <w:rPr>
      <w:i/>
    </w:rPr>
  </w:style>
  <w:style w:type="paragraph" w:styleId="IntenseQuote">
    <w:name w:val="Intense Quote"/>
    <w:basedOn w:val="Normal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before="0" w:after="0"/>
      <w:ind w:left="720" w:right="720"/>
    </w:pPr>
    <w:rPr>
      <w:i/>
    </w:rPr>
  </w:style>
  <w:style w:type="paragraph" w:styleId="Style10">
    <w:name w:val="Колонтитул"/>
    <w:basedOn w:val="Normal"/>
    <w:qFormat/>
    <w:pPr/>
    <w:rPr/>
  </w:style>
  <w:style w:type="paragraph" w:styleId="Header">
    <w:name w:val="Header"/>
    <w:basedOn w:val="Normal"/>
    <w:uiPriority w:val="99"/>
    <w:unhideWhenUsed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uiPriority w:val="99"/>
    <w:unhideWhenUsed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FootnoteText">
    <w:name w:val="Footnote Text"/>
    <w:basedOn w:val="Normal"/>
    <w:uiPriority w:val="99"/>
    <w:semiHidden/>
    <w:unhideWhenUsed/>
    <w:pPr>
      <w:spacing w:lineRule="auto" w:line="240" w:before="0" w:after="40"/>
    </w:pPr>
    <w:rPr>
      <w:sz w:val="18"/>
    </w:rPr>
  </w:style>
  <w:style w:type="paragraph" w:styleId="EndnoteText">
    <w:name w:val="Endnote Text"/>
    <w:basedOn w:val="Normal"/>
    <w:uiPriority w:val="99"/>
    <w:semiHidden/>
    <w:unhideWhenUsed/>
    <w:pPr>
      <w:spacing w:lineRule="auto" w:line="240" w:before="0" w:after="0"/>
    </w:pPr>
    <w:rPr>
      <w:sz w:val="20"/>
    </w:rPr>
  </w:style>
  <w:style w:type="paragraph" w:styleId="TOC1">
    <w:name w:val="TOC 1"/>
    <w:basedOn w:val="Normal"/>
    <w:uiPriority w:val="39"/>
    <w:unhideWhenUsed/>
    <w:pPr>
      <w:spacing w:before="0" w:after="57"/>
      <w:ind w:hanging="0" w:left="0" w:right="0"/>
    </w:pPr>
    <w:rPr/>
  </w:style>
  <w:style w:type="paragraph" w:styleId="TOC2">
    <w:name w:val="TOC 2"/>
    <w:basedOn w:val="Normal"/>
    <w:uiPriority w:val="39"/>
    <w:unhideWhenUsed/>
    <w:pPr>
      <w:spacing w:before="0" w:after="57"/>
      <w:ind w:hanging="0" w:left="283" w:right="0"/>
    </w:pPr>
    <w:rPr/>
  </w:style>
  <w:style w:type="paragraph" w:styleId="TOC3">
    <w:name w:val="TOC 3"/>
    <w:basedOn w:val="Normal"/>
    <w:uiPriority w:val="39"/>
    <w:unhideWhenUsed/>
    <w:pPr>
      <w:spacing w:before="0" w:after="57"/>
      <w:ind w:hanging="0" w:left="567" w:right="0"/>
    </w:pPr>
    <w:rPr/>
  </w:style>
  <w:style w:type="paragraph" w:styleId="TOC4">
    <w:name w:val="TOC 4"/>
    <w:basedOn w:val="Normal"/>
    <w:uiPriority w:val="39"/>
    <w:unhideWhenUsed/>
    <w:pPr>
      <w:spacing w:before="0" w:after="57"/>
      <w:ind w:hanging="0" w:left="850" w:right="0"/>
    </w:pPr>
    <w:rPr/>
  </w:style>
  <w:style w:type="paragraph" w:styleId="TOC5">
    <w:name w:val="TOC 5"/>
    <w:basedOn w:val="Normal"/>
    <w:uiPriority w:val="39"/>
    <w:unhideWhenUsed/>
    <w:pPr>
      <w:spacing w:before="0" w:after="57"/>
      <w:ind w:hanging="0" w:left="1134" w:right="0"/>
    </w:pPr>
    <w:rPr/>
  </w:style>
  <w:style w:type="paragraph" w:styleId="TOC6">
    <w:name w:val="TOC 6"/>
    <w:basedOn w:val="Normal"/>
    <w:uiPriority w:val="39"/>
    <w:unhideWhenUsed/>
    <w:pPr>
      <w:spacing w:before="0" w:after="57"/>
      <w:ind w:hanging="0" w:left="1417" w:right="0"/>
    </w:pPr>
    <w:rPr/>
  </w:style>
  <w:style w:type="paragraph" w:styleId="TOC7">
    <w:name w:val="TOC 7"/>
    <w:basedOn w:val="Normal"/>
    <w:uiPriority w:val="39"/>
    <w:unhideWhenUsed/>
    <w:pPr>
      <w:spacing w:before="0" w:after="57"/>
      <w:ind w:hanging="0" w:left="1701" w:right="0"/>
    </w:pPr>
    <w:rPr/>
  </w:style>
  <w:style w:type="paragraph" w:styleId="TOC8">
    <w:name w:val="TOC 8"/>
    <w:basedOn w:val="Normal"/>
    <w:uiPriority w:val="39"/>
    <w:unhideWhenUsed/>
    <w:pPr>
      <w:spacing w:before="0" w:after="57"/>
      <w:ind w:hanging="0" w:left="1984" w:right="0"/>
    </w:pPr>
    <w:rPr/>
  </w:style>
  <w:style w:type="paragraph" w:styleId="TOC9">
    <w:name w:val="TOC 9"/>
    <w:basedOn w:val="Normal"/>
    <w:uiPriority w:val="39"/>
    <w:unhideWhenUsed/>
    <w:pPr>
      <w:spacing w:before="0" w:after="57"/>
      <w:ind w:hanging="0" w:left="2268" w:right="0"/>
    </w:pPr>
    <w:rPr/>
  </w:style>
  <w:style w:type="paragraph" w:styleId="IndexHeading">
    <w:name w:val="Index Heading"/>
    <w:basedOn w:val="Style8"/>
    <w:pPr/>
    <w:rPr/>
  </w:style>
  <w:style w:type="paragraph" w:styleId="TOCHeading">
    <w:name w:val="TOC Heading"/>
    <w:uiPriority w:val="39"/>
    <w:unhideWhenUsed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ahoma" w:cs="Lohit Devanagari"/>
      <w:color w:val="auto"/>
      <w:kern w:val="0"/>
      <w:sz w:val="20"/>
      <w:szCs w:val="20"/>
      <w:lang w:val="ru-RU" w:eastAsia="zh-CN" w:bidi="ar-SA"/>
    </w:rPr>
  </w:style>
  <w:style w:type="paragraph" w:styleId="TableofFigures">
    <w:name w:val="Table of Figures"/>
    <w:basedOn w:val="Normal"/>
    <w:uiPriority w:val="99"/>
    <w:unhideWhenUsed/>
    <w:pPr>
      <w:spacing w:before="0" w:afterAutospacing="0" w:after="0"/>
    </w:pPr>
    <w:rPr/>
  </w:style>
  <w:style w:type="paragraph" w:styleId="Style11">
    <w:name w:val="Содержимое врезки"/>
    <w:basedOn w:val="Normal"/>
    <w:qFormat/>
    <w:pPr/>
    <w:rPr/>
  </w:style>
  <w:style w:type="numbering" w:styleId="Style12">
    <w:name w:val="Нет списка"/>
    <w:semiHidden/>
    <w:qFormat/>
  </w:style>
  <w:style w:type="numbering" w:styleId="NoList" w:default="1">
    <w:name w:val="No List"/>
    <w:uiPriority w:val="99"/>
    <w:semiHidden/>
    <w:unhideWhenUsed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 pitchFamily="0" charset="1"/>
        <a:ea typeface="Arial" pitchFamily="0" charset="1"/>
        <a:cs typeface="Arial" pitchFamily="0" charset="1"/>
      </a:majorFont>
      <a:minorFont>
        <a:latin typeface="Arial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/>
        <a:ln w="25400"/>
        <a:ln w="38100"/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Application>LibreOffice/7.6.7.2$Linux_X86_64 LibreOffice_project/60$Build-2</Application>
  <AppVersion>15.0000</AppVersion>
  <Pages>1</Pages>
  <Words>238</Words>
  <Characters>2710</Characters>
  <CharactersWithSpaces>2944</CharactersWithSpaces>
  <Paragraphs>57</Paragraphs>
  <Company>***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2023-08-02T10:36:00Z</dcterms:created>
  <dc:creator>Сарбашев</dc:creator>
  <dc:description/>
  <dc:language>ru-RU</dc:language>
  <cp:lastModifiedBy/>
  <dcterms:modified xsi:type="dcterms:W3CDTF">2026-07-17T13:21:17Z</dcterms:modified>
  <cp:revision>27</cp:revision>
  <dc:subject/>
  <dc:title>АКТ</dc:title>
  <cp:version>983040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