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 xml:space="preserve">«   </w:t>
      </w:r>
      <w:r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 xml:space="preserve">  »       </w:t>
      </w:r>
      <w:bookmarkStart w:id="0" w:name="_GoBack"/>
      <w:bookmarkEnd w:id="0"/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мая</w:t>
      </w:r>
      <w:r>
        <w:rPr>
          <w:sz w:val="22"/>
          <w:szCs w:val="22"/>
          <w:u w:val="single"/>
        </w:rPr>
        <w:t xml:space="preserve">          2026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В733ТУ102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01-05000350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ХТТ390995D0483681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2013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409110*D3005375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374100D0404974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390900D0101392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НО 265054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eastAsia="Calibri" w:ascii="Tempora LGC Uni" w:hAnsi="Tempora LGC Uni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0238023857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629 430,76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79 319,87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406 677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Отсутствует компрессия,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Износ сцепления, </w:t>
      </w:r>
      <w:r>
        <w:rPr>
          <w:sz w:val="22"/>
          <w:szCs w:val="22"/>
          <w:u w:val="single"/>
        </w:rPr>
        <w:t>неисправность КПП</w:t>
      </w:r>
      <w:r>
        <w:rPr>
          <w:sz w:val="22"/>
          <w:szCs w:val="22"/>
          <w:u w:val="single"/>
        </w:rPr>
        <w:t>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Необходима</w:t>
      </w:r>
      <w:r>
        <w:rPr>
          <w:sz w:val="22"/>
          <w:szCs w:val="22"/>
          <w:u w:val="single"/>
        </w:rPr>
        <w:t xml:space="preserve"> замена </w:t>
      </w:r>
      <w:r>
        <w:rPr>
          <w:sz w:val="22"/>
          <w:szCs w:val="22"/>
          <w:u w:val="single"/>
        </w:rPr>
        <w:t>рулевых тяг, наконечников,</w:t>
      </w:r>
      <w:r>
        <w:rPr>
          <w:sz w:val="22"/>
          <w:szCs w:val="22"/>
          <w:u w:val="single"/>
        </w:rPr>
        <w:t xml:space="preserve">  редуктора заднего моста.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LibreOffice/24.8.4.1$Linux_X86_64 LibreOffice_project/480$Build-1</Application>
  <AppVersion>15.0000</AppVersion>
  <Pages>1</Pages>
  <Words>195</Words>
  <Characters>1565</Characters>
  <CharactersWithSpaces>1739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2025-08-20T12:14:00Z</dcterms:created>
  <dc:creator>Сарбашев</dc:creator>
  <dc:description/>
  <dc:language>ru-RU</dc:language>
  <cp:lastModifiedBy/>
  <cp:lastPrinted>2026-05-20T16:39:44Z</cp:lastPrinted>
  <dcterms:modified xsi:type="dcterms:W3CDTF">2026-05-20T16:44:08Z</dcterms:modified>
  <cp:revision>9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