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1"/>
        <w:rPr>
          <w:sz w:val="22"/>
          <w:szCs w:val="22"/>
        </w:rPr>
      </w:pPr>
      <w:r>
        <w:rPr>
          <w:sz w:val="22"/>
          <w:szCs w:val="22"/>
        </w:rPr>
        <w:t>АКТ</w:t>
      </w:r>
    </w:p>
    <w:p>
      <w:pPr>
        <w:pStyle w:val="Subtitle"/>
        <w:rPr>
          <w:sz w:val="22"/>
          <w:szCs w:val="22"/>
        </w:rPr>
      </w:pPr>
      <w:r>
        <w:rPr>
          <w:sz w:val="22"/>
          <w:szCs w:val="22"/>
        </w:rPr>
        <w:t xml:space="preserve">Технического осмотра транспортного средства </w:t>
      </w:r>
    </w:p>
    <w:p>
      <w:pPr>
        <w:pStyle w:val="Heading1"/>
        <w:rPr>
          <w:sz w:val="16"/>
          <w:szCs w:val="16"/>
        </w:rPr>
      </w:pPr>
      <w:r>
        <w:rPr>
          <w:sz w:val="22"/>
          <w:szCs w:val="22"/>
        </w:rPr>
        <w:t xml:space="preserve">Составлен </w:t>
      </w:r>
      <w:r>
        <w:rPr>
          <w:sz w:val="22"/>
          <w:szCs w:val="22"/>
          <w:u w:val="single"/>
        </w:rPr>
        <w:t>«  13         »     0</w:t>
      </w:r>
      <w:r>
        <w:rPr>
          <w:sz w:val="22"/>
          <w:szCs w:val="22"/>
          <w:u w:val="single"/>
        </w:rPr>
        <w:t>7</w:t>
      </w:r>
      <w:r>
        <w:rPr>
          <w:sz w:val="22"/>
          <w:szCs w:val="22"/>
          <w:u w:val="single"/>
        </w:rPr>
        <w:t xml:space="preserve">                  2026 года</w: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tbl>
      <w:tblPr>
        <w:tblW w:w="10208" w:type="dxa"/>
        <w:jc w:val="left"/>
        <w:tblInd w:w="-13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4a0" w:noHBand="0" w:noVBand="1" w:firstColumn="1" w:lastRow="0" w:lastColumn="0" w:firstRow="1"/>
      </w:tblPr>
      <w:tblGrid>
        <w:gridCol w:w="5104"/>
        <w:gridCol w:w="5103"/>
      </w:tblGrid>
      <w:tr>
        <w:trPr>
          <w:trHeight w:val="435" w:hRule="atLeast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3"/>
              <w:numPr>
                <w:ilvl w:val="0"/>
                <w:numId w:val="0"/>
              </w:numPr>
              <w:ind w:hanging="0" w:left="0"/>
              <w:jc w:val="center"/>
              <w:rPr/>
            </w:pPr>
            <w:r>
              <w:rPr>
                <w:sz w:val="24"/>
                <w:szCs w:val="24"/>
              </w:rPr>
              <w:t>Марка, модель ТС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4"/>
              <w:numPr>
                <w:ilvl w:val="0"/>
                <w:numId w:val="0"/>
              </w:numPr>
              <w:ind w:hanging="0" w:left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УАЗ 390995</w:t>
            </w:r>
          </w:p>
        </w:tc>
      </w:tr>
      <w:tr>
        <w:trPr>
          <w:trHeight w:val="435" w:hRule="atLeast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5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Регистрационный номер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4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О884КЕ</w:t>
            </w:r>
          </w:p>
        </w:tc>
      </w:tr>
      <w:tr>
        <w:trPr>
          <w:trHeight w:val="435" w:hRule="atLeast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5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Инвентарный номер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jc w:val="center"/>
              <w:rPr/>
            </w:pPr>
            <w:r>
              <w:rPr>
                <w:i/>
                <w:iCs/>
                <w:sz w:val="24"/>
                <w:szCs w:val="24"/>
              </w:rPr>
              <w:t>11-2499</w:t>
            </w:r>
          </w:p>
        </w:tc>
      </w:tr>
      <w:tr>
        <w:trPr>
          <w:trHeight w:val="300" w:hRule="atLeast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Идентификационный номер (VIN)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4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ХЗЕ39014СК0000155</w:t>
            </w:r>
          </w:p>
        </w:tc>
      </w:tr>
      <w:tr>
        <w:trPr>
          <w:trHeight w:val="341" w:hRule="atLeast"/>
          <w:cantSplit w:val="true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Год выпуска ТС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i/>
                <w:iCs/>
                <w:sz w:val="24"/>
                <w:szCs w:val="24"/>
              </w:rPr>
              <w:t>2018</w:t>
            </w:r>
          </w:p>
        </w:tc>
      </w:tr>
      <w:tr>
        <w:trPr>
          <w:trHeight w:val="90" w:hRule="atLeast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Модель, № двигателя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i/>
                <w:iCs/>
                <w:sz w:val="24"/>
                <w:szCs w:val="24"/>
              </w:rPr>
              <w:t>534450 J0078199</w:t>
            </w:r>
          </w:p>
        </w:tc>
      </w:tr>
      <w:tr>
        <w:trPr>
          <w:trHeight w:val="255" w:hRule="atLeast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Шасси, (рама) №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i/>
                <w:iCs/>
                <w:sz w:val="24"/>
                <w:szCs w:val="24"/>
              </w:rPr>
              <w:t>Отсутствует</w:t>
            </w:r>
          </w:p>
        </w:tc>
      </w:tr>
      <w:tr>
        <w:trPr>
          <w:trHeight w:val="255" w:hRule="atLeast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Кузов, (прицеп) №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i/>
                <w:iCs/>
                <w:sz w:val="24"/>
                <w:szCs w:val="24"/>
              </w:rPr>
              <w:t>C41R11K0026384</w:t>
            </w:r>
          </w:p>
        </w:tc>
      </w:tr>
      <w:tr>
        <w:trPr>
          <w:trHeight w:val="90" w:hRule="atLeast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Цвет кузова (кабины)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i/>
                <w:iCs/>
                <w:sz w:val="24"/>
                <w:szCs w:val="24"/>
              </w:rPr>
              <w:t>Белый</w:t>
            </w:r>
          </w:p>
        </w:tc>
      </w:tr>
      <w:tr>
        <w:trPr>
          <w:trHeight w:val="360" w:hRule="atLeast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Паспорт транспортного средства (ПТС)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4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13 РА 000899</w:t>
            </w:r>
          </w:p>
        </w:tc>
      </w:tr>
      <w:tr>
        <w:trPr>
          <w:trHeight w:val="315" w:hRule="atLeast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6"/>
              <w:ind w:hanging="0" w:left="0" w:right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Свидетельство о регистрации ТС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ing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9938762902</w:t>
            </w:r>
          </w:p>
        </w:tc>
      </w:tr>
      <w:tr>
        <w:trPr>
          <w:trHeight w:val="315" w:hRule="atLeast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6"/>
              <w:ind w:hanging="0" w:left="0" w:right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Балансовая стоимость, руб.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jc w:val="center"/>
              <w:rPr/>
            </w:pPr>
            <w:r>
              <w:rPr>
                <w:color w:val="003F2F"/>
              </w:rPr>
              <w:t>507737,24</w:t>
            </w:r>
          </w:p>
        </w:tc>
      </w:tr>
      <w:tr>
        <w:trPr>
          <w:trHeight w:val="315" w:hRule="atLeast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6"/>
              <w:ind w:hanging="0" w:left="0" w:right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Остаточная стоимость, руб.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jc w:val="center"/>
              <w:rPr/>
            </w:pPr>
            <w:r>
              <w:rPr>
                <w:color w:val="003F2F"/>
              </w:rPr>
              <w:t>28086,93</w:t>
            </w:r>
          </w:p>
        </w:tc>
      </w:tr>
      <w:tr>
        <w:trPr>
          <w:trHeight w:val="315" w:hRule="atLeast"/>
        </w:trPr>
        <w:tc>
          <w:tcPr>
            <w:tcW w:w="5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6"/>
              <w:shd w:val="clear" w:color="auto" w:fill="FFFFFF"/>
              <w:ind w:hanging="0" w:left="0" w:right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Пробег (показание одометра) км.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ing4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11-2499</w:t>
            </w:r>
          </w:p>
        </w:tc>
      </w:tr>
    </w:tbl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i/>
          <w:i/>
          <w:sz w:val="22"/>
          <w:szCs w:val="22"/>
        </w:rPr>
      </w:pPr>
      <w:r>
        <w:rPr>
          <w:sz w:val="22"/>
          <w:szCs w:val="22"/>
        </w:rPr>
        <w:t xml:space="preserve">Принадлежность транспортного средства филиал ПАО «Газпром газораспределение Уфа» в г. Туймазы </w:t>
      </w:r>
    </w:p>
    <w:p>
      <w:pPr>
        <w:pStyle w:val="Normal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Адрес владельца:452750</w:t>
      </w:r>
      <w:r>
        <w:rPr>
          <w:b/>
          <w:bCs/>
          <w:sz w:val="22"/>
          <w:szCs w:val="22"/>
          <w:u w:val="single"/>
        </w:rPr>
        <w:t xml:space="preserve">, </w:t>
      </w:r>
      <w:r>
        <w:rPr>
          <w:b/>
          <w:sz w:val="22"/>
          <w:szCs w:val="22"/>
          <w:u w:val="single"/>
        </w:rPr>
        <w:t>Российская Федерация, Республика Башкортостан</w:t>
      </w:r>
      <w:r>
        <w:rPr>
          <w:b/>
          <w:bCs/>
          <w:sz w:val="22"/>
          <w:szCs w:val="22"/>
          <w:u w:val="single"/>
        </w:rPr>
        <w:t>, г. Туймазы, ул.Гафуровафа 31а</w:t>
      </w:r>
    </w:p>
    <w:p>
      <w:pPr>
        <w:pStyle w:val="Normal"/>
        <w:rPr/>
      </w:pPr>
      <w:r>
        <w:rPr>
          <w:sz w:val="22"/>
          <w:szCs w:val="22"/>
        </w:rPr>
        <w:t>В результате визуального осмотра установлено:</w:t>
      </w:r>
    </w:p>
    <w:p>
      <w:pPr>
        <w:pStyle w:val="Normal"/>
        <w:rPr/>
      </w:pPr>
      <w:r>
        <w:rPr>
          <w:sz w:val="22"/>
          <w:szCs w:val="22"/>
        </w:rPr>
        <w:t xml:space="preserve">1. Заменены следующие агрегаты базовой комплектации:  </w:t>
      </w:r>
    </w:p>
    <w:p>
      <w:pPr>
        <w:pStyle w:val="Normal"/>
        <w:rPr/>
      </w:pPr>
      <w:r>
        <w:rPr>
          <w:b/>
          <w:sz w:val="22"/>
          <w:szCs w:val="22"/>
          <w:u w:val="single"/>
        </w:rPr>
        <w:t>Нет;</w:t>
      </w:r>
      <w:r>
        <w:rPr>
          <w:sz w:val="22"/>
          <w:szCs w:val="22"/>
        </w:rPr>
        <w:t>_______________________________________________________________________________________</w:t>
      </w:r>
    </w:p>
    <w:p>
      <w:pPr>
        <w:pStyle w:val="Normal"/>
        <w:rPr/>
      </w:pPr>
      <w:r>
        <w:rPr>
          <w:sz w:val="22"/>
          <w:szCs w:val="22"/>
        </w:rPr>
        <w:t xml:space="preserve">2. Проведено переоборудование с заменых базовых агрегатов: </w:t>
      </w:r>
    </w:p>
    <w:p>
      <w:pPr>
        <w:pStyle w:val="Normal"/>
        <w:rPr/>
      </w:pPr>
      <w:r>
        <w:rPr>
          <w:b/>
          <w:sz w:val="22"/>
          <w:szCs w:val="22"/>
          <w:u w:val="single"/>
        </w:rPr>
        <w:t>Нет;</w:t>
      </w:r>
      <w:r>
        <w:rPr>
          <w:sz w:val="22"/>
          <w:szCs w:val="22"/>
        </w:rPr>
        <w:t>_______________________________________________________________________________________</w:t>
      </w:r>
    </w:p>
    <w:p>
      <w:pPr>
        <w:pStyle w:val="Normal"/>
        <w:rPr/>
      </w:pPr>
      <w:r>
        <w:rPr>
          <w:sz w:val="22"/>
          <w:szCs w:val="22"/>
        </w:rPr>
        <w:t>3. Дополнительно установленное оборудование: _____________________</w:t>
      </w:r>
    </w:p>
    <w:p>
      <w:pPr>
        <w:pStyle w:val="Normal"/>
        <w:rPr/>
      </w:pPr>
      <w:r>
        <w:rPr>
          <w:sz w:val="22"/>
          <w:szCs w:val="22"/>
        </w:rPr>
        <w:t xml:space="preserve">4. Отсутствуют следующие агрегаты базовой комплектации: </w:t>
      </w:r>
    </w:p>
    <w:p>
      <w:pPr>
        <w:pStyle w:val="Normal"/>
        <w:rPr/>
      </w:pPr>
      <w:r>
        <w:rPr>
          <w:b/>
          <w:sz w:val="22"/>
          <w:szCs w:val="22"/>
          <w:u w:val="single"/>
        </w:rPr>
        <w:t>Нет;</w:t>
      </w:r>
      <w:r>
        <w:rPr>
          <w:sz w:val="22"/>
          <w:szCs w:val="22"/>
        </w:rPr>
        <w:t>_______________________________________________________________________________________</w:t>
      </w:r>
    </w:p>
    <w:p>
      <w:pPr>
        <w:pStyle w:val="Normal"/>
        <w:rPr/>
      </w:pPr>
      <w:r>
        <w:rPr>
          <w:sz w:val="22"/>
          <w:szCs w:val="22"/>
        </w:rPr>
        <w:t xml:space="preserve">5. Эксплуатационные дефекты: </w:t>
      </w:r>
    </w:p>
    <w:p>
      <w:pPr>
        <w:pStyle w:val="Normal"/>
        <w:rPr/>
      </w:pPr>
      <w:r>
        <w:rPr>
          <w:sz w:val="22"/>
          <w:szCs w:val="22"/>
        </w:rPr>
        <w:t xml:space="preserve">Двигатель: </w:t>
      </w:r>
    </w:p>
    <w:p>
      <w:pPr>
        <w:pStyle w:val="Normal"/>
        <w:rPr/>
      </w:pPr>
      <w:r>
        <w:rPr>
          <w:sz w:val="22"/>
          <w:szCs w:val="22"/>
          <w:u w:val="single"/>
        </w:rPr>
        <w:t>Износ цилиндро-поршневой группы, р</w:t>
      </w:r>
      <w:r>
        <w:rPr>
          <w:rFonts w:eastAsia="Tahoma" w:cs="Lohit Devanagari"/>
          <w:color w:val="auto"/>
          <w:kern w:val="0"/>
          <w:sz w:val="22"/>
          <w:szCs w:val="22"/>
          <w:u w:val="single"/>
          <w:lang w:val="ru-RU" w:eastAsia="zh-CN" w:bidi="ar-SA"/>
        </w:rPr>
        <w:t>асход масла, течь масла, синий выхлоп отработанных газов, дымность, не запускается из за длительного простоя требуется текущий ремонт;</w:t>
      </w:r>
    </w:p>
    <w:p>
      <w:pPr>
        <w:pStyle w:val="Normal"/>
        <w:rPr>
          <w:rFonts w:ascii="Times New Roman" w:hAnsi="Times New Roman" w:eastAsia="Tahoma" w:cs="Lohit Devanagari"/>
          <w:color w:val="auto"/>
          <w:kern w:val="0"/>
          <w:sz w:val="22"/>
          <w:szCs w:val="22"/>
          <w:u w:val="single"/>
          <w:lang w:val="ru-RU" w:eastAsia="zh-CN" w:bidi="ar-SA"/>
        </w:rPr>
      </w:pPr>
      <w:r>
        <w:rPr>
          <w:rFonts w:eastAsia="Tahoma" w:cs="Lohit Devanagari"/>
          <w:color w:val="auto"/>
          <w:kern w:val="0"/>
          <w:sz w:val="22"/>
          <w:szCs w:val="22"/>
          <w:u w:val="single"/>
          <w:lang w:val="ru-RU" w:eastAsia="zh-CN" w:bidi="ar-SA"/>
        </w:rPr>
        <w:t>Трансмиссия:</w:t>
      </w:r>
    </w:p>
    <w:p>
      <w:pPr>
        <w:pStyle w:val="Normal"/>
        <w:rPr>
          <w:rFonts w:ascii="Times New Roman" w:hAnsi="Times New Roman" w:eastAsia="Tahoma" w:cs="Lohit Devanagari"/>
          <w:color w:val="auto"/>
          <w:kern w:val="0"/>
          <w:sz w:val="22"/>
          <w:szCs w:val="22"/>
          <w:u w:val="single"/>
          <w:lang w:val="ru-RU" w:eastAsia="zh-CN" w:bidi="ar-SA"/>
        </w:rPr>
      </w:pPr>
      <w:r>
        <w:rPr>
          <w:rFonts w:eastAsia="Tahoma" w:cs="Lohit Devanagari"/>
          <w:color w:val="auto"/>
          <w:kern w:val="0"/>
          <w:sz w:val="22"/>
          <w:szCs w:val="22"/>
          <w:u w:val="single"/>
          <w:lang w:val="ru-RU" w:eastAsia="zh-CN" w:bidi="ar-SA"/>
        </w:rPr>
        <w:t>Износ подшипников, шестерен, валов КПП; износ подшипников, шестерен раздаточной коробки; износ главной передачи, подшипников переднего моста, клин и гул заднего моста; износ шлицевой части карданных валов; износ шарниров шруса, требуется текущий ремонт;</w:t>
      </w:r>
    </w:p>
    <w:p>
      <w:pPr>
        <w:pStyle w:val="Normal"/>
        <w:rPr>
          <w:rFonts w:ascii="Times New Roman" w:hAnsi="Times New Roman" w:eastAsia="Tahoma" w:cs="Lohit Devanagari"/>
          <w:color w:val="auto"/>
          <w:kern w:val="0"/>
          <w:sz w:val="22"/>
          <w:szCs w:val="22"/>
          <w:u w:val="single"/>
          <w:lang w:val="ru-RU" w:eastAsia="zh-CN" w:bidi="ar-SA"/>
        </w:rPr>
      </w:pPr>
      <w:r>
        <w:rPr>
          <w:rFonts w:eastAsia="Tahoma" w:cs="Lohit Devanagari"/>
          <w:color w:val="auto"/>
          <w:kern w:val="0"/>
          <w:sz w:val="22"/>
          <w:szCs w:val="22"/>
          <w:u w:val="single"/>
          <w:lang w:val="ru-RU" w:eastAsia="zh-CN" w:bidi="ar-SA"/>
        </w:rPr>
        <w:t xml:space="preserve">Ходовая часть: </w:t>
      </w:r>
    </w:p>
    <w:p>
      <w:pPr>
        <w:pStyle w:val="BodyText"/>
        <w:rPr>
          <w:rFonts w:ascii="Times New Roman" w:hAnsi="Times New Roman" w:eastAsia="Tahoma" w:cs="Lohit Devanagari"/>
          <w:color w:val="auto"/>
          <w:kern w:val="0"/>
          <w:sz w:val="22"/>
          <w:szCs w:val="22"/>
          <w:u w:val="single"/>
          <w:lang w:val="ru-RU" w:eastAsia="zh-CN" w:bidi="ar-SA"/>
        </w:rPr>
      </w:pPr>
      <w:r>
        <w:rPr>
          <w:rFonts w:eastAsia="Tahoma" w:cs="Lohit Devanagari"/>
          <w:color w:val="auto"/>
          <w:kern w:val="0"/>
          <w:sz w:val="22"/>
          <w:szCs w:val="22"/>
          <w:u w:val="single"/>
          <w:lang w:val="ru-RU" w:eastAsia="zh-CN" w:bidi="ar-SA"/>
        </w:rPr>
        <w:t>Износ переднего карданного вала, тормозных колодок, амортизаторов, сильный износ чашек рессор, требуется текущий ремонт;</w:t>
      </w:r>
    </w:p>
    <w:p>
      <w:pPr>
        <w:pStyle w:val="BodyText"/>
        <w:rPr>
          <w:rFonts w:ascii="Times New Roman" w:hAnsi="Times New Roman" w:eastAsia="Tahoma" w:cs="Lohit Devanagari"/>
          <w:color w:val="auto"/>
          <w:kern w:val="0"/>
          <w:sz w:val="22"/>
          <w:szCs w:val="22"/>
          <w:u w:val="single"/>
          <w:lang w:val="ru-RU" w:eastAsia="zh-CN" w:bidi="ar-SA"/>
        </w:rPr>
      </w:pPr>
      <w:r>
        <w:rPr>
          <w:rFonts w:eastAsia="Tahoma" w:cs="Lohit Devanagari"/>
          <w:color w:val="auto"/>
          <w:kern w:val="0"/>
          <w:sz w:val="22"/>
          <w:szCs w:val="22"/>
          <w:u w:val="single"/>
          <w:lang w:val="ru-RU" w:eastAsia="zh-CN" w:bidi="ar-SA"/>
        </w:rPr>
        <w:t xml:space="preserve">Салон: </w:t>
      </w:r>
    </w:p>
    <w:p>
      <w:pPr>
        <w:pStyle w:val="BodyText"/>
        <w:rPr>
          <w:rFonts w:ascii="Times New Roman" w:hAnsi="Times New Roman" w:eastAsia="Tahoma" w:cs="Lohit Devanagari"/>
          <w:color w:val="auto"/>
          <w:kern w:val="0"/>
          <w:sz w:val="22"/>
          <w:szCs w:val="22"/>
          <w:u w:val="single"/>
          <w:lang w:val="ru-RU" w:eastAsia="zh-CN" w:bidi="ar-SA"/>
        </w:rPr>
      </w:pPr>
      <w:r>
        <w:rPr>
          <w:rFonts w:eastAsia="Tahoma" w:cs="Lohit Devanagari"/>
          <w:color w:val="auto"/>
          <w:kern w:val="0"/>
          <w:sz w:val="22"/>
          <w:szCs w:val="22"/>
          <w:u w:val="single"/>
          <w:lang w:val="ru-RU" w:eastAsia="zh-CN" w:bidi="ar-SA"/>
        </w:rPr>
        <w:t>Сиденья обтерлись, требуется внутренняя отделка;</w:t>
      </w:r>
    </w:p>
    <w:p>
      <w:pPr>
        <w:pStyle w:val="BodyText"/>
        <w:rPr>
          <w:rFonts w:ascii="Times New Roman" w:hAnsi="Times New Roman" w:eastAsia="Tahoma" w:cs="Lohit Devanagari"/>
          <w:color w:val="auto"/>
          <w:kern w:val="0"/>
          <w:sz w:val="22"/>
          <w:szCs w:val="22"/>
          <w:u w:val="single"/>
          <w:lang w:val="ru-RU" w:eastAsia="zh-CN" w:bidi="ar-SA"/>
        </w:rPr>
      </w:pPr>
      <w:r>
        <w:rPr>
          <w:rFonts w:eastAsia="Tahoma" w:cs="Lohit Devanagari"/>
          <w:color w:val="auto"/>
          <w:kern w:val="0"/>
          <w:sz w:val="22"/>
          <w:szCs w:val="22"/>
          <w:u w:val="single"/>
          <w:lang w:val="ru-RU" w:eastAsia="zh-CN" w:bidi="ar-SA"/>
        </w:rPr>
        <w:t>Кузов:</w:t>
      </w:r>
    </w:p>
    <w:p>
      <w:pPr>
        <w:pStyle w:val="BodyText"/>
        <w:rPr>
          <w:rFonts w:ascii="Times New Roman" w:hAnsi="Times New Roman" w:eastAsia="Tahoma" w:cs="Lohit Devanagari"/>
          <w:color w:val="auto"/>
          <w:kern w:val="0"/>
          <w:sz w:val="22"/>
          <w:szCs w:val="22"/>
          <w:u w:val="single"/>
          <w:lang w:val="ru-RU" w:eastAsia="zh-CN" w:bidi="ar-SA"/>
        </w:rPr>
      </w:pPr>
      <w:r>
        <w:rPr>
          <w:rFonts w:eastAsia="Tahoma" w:cs="Lohit Devanagari"/>
          <w:color w:val="auto"/>
          <w:kern w:val="0"/>
          <w:sz w:val="22"/>
          <w:szCs w:val="22"/>
          <w:u w:val="single"/>
          <w:lang w:val="ru-RU" w:eastAsia="zh-CN" w:bidi="ar-SA"/>
        </w:rPr>
        <w:t>Сквозная коррозия кузова,  арок колеса порогов.</w:t>
      </w:r>
    </w:p>
    <w:p>
      <w:pPr>
        <w:pStyle w:val="Normal"/>
        <w:rPr>
          <w:rFonts w:ascii="Times New Roman" w:hAnsi="Times New Roman" w:eastAsia="Tahoma" w:cs="Lohit Devanagari"/>
          <w:color w:val="auto"/>
          <w:kern w:val="0"/>
          <w:sz w:val="22"/>
          <w:szCs w:val="22"/>
          <w:u w:val="single"/>
          <w:lang w:val="ru-RU" w:eastAsia="zh-CN" w:bidi="ar-SA"/>
        </w:rPr>
      </w:pPr>
      <w:r>
        <w:rPr>
          <w:rFonts w:eastAsia="Tahoma" w:cs="Lohit Devanagari"/>
          <w:color w:val="auto"/>
          <w:kern w:val="0"/>
          <w:sz w:val="22"/>
          <w:szCs w:val="22"/>
          <w:u w:val="single"/>
          <w:lang w:val="ru-RU" w:eastAsia="zh-CN" w:bidi="ar-SA"/>
        </w:rPr>
        <w:t>Электрика: Разряд АКБ или замыкание,требуется замена.</w:t>
      </w:r>
    </w:p>
    <w:p>
      <w:pPr>
        <w:pStyle w:val="Style15"/>
        <w:rPr/>
      </w:pPr>
      <w:r>
        <w:rPr>
          <w:sz w:val="22"/>
          <w:szCs w:val="22"/>
        </w:rPr>
        <w:t>Директор филиала ________________________________/ _______</w:t>
      </w:r>
      <w:r>
        <w:rPr>
          <w:sz w:val="22"/>
          <w:szCs w:val="22"/>
          <w:u w:val="single"/>
        </w:rPr>
        <w:t>А.З. Якупов</w:t>
      </w:r>
      <w:r>
        <w:rPr>
          <w:sz w:val="22"/>
          <w:szCs w:val="22"/>
        </w:rPr>
        <w:t>________/</w:t>
      </w:r>
    </w:p>
    <w:p>
      <w:pPr>
        <w:pStyle w:val="Style15"/>
        <w:tabs>
          <w:tab w:val="clear" w:pos="720"/>
          <w:tab w:val="right" w:pos="10065" w:leader="none"/>
        </w:tabs>
        <w:rPr>
          <w:sz w:val="22"/>
          <w:szCs w:val="22"/>
        </w:rPr>
      </w:pPr>
      <w:r>
        <w:rPr>
          <w:sz w:val="22"/>
          <w:szCs w:val="22"/>
        </w:rPr>
        <w:t>Начальник ТС       _______________________________/ _________</w:t>
      </w:r>
      <w:r>
        <w:rPr>
          <w:sz w:val="22"/>
          <w:szCs w:val="22"/>
          <w:u w:val="single"/>
        </w:rPr>
        <w:t>Э.Н. Фахретдинов</w:t>
      </w:r>
      <w:r>
        <w:rPr>
          <w:sz w:val="22"/>
          <w:szCs w:val="22"/>
        </w:rPr>
        <w:t>____________/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Представитель организация-оценщик   _______________/ ________________________________/</w:t>
      </w:r>
    </w:p>
    <w:sectPr>
      <w:footerReference w:type="default" r:id="rId2"/>
      <w:type w:val="nextPage"/>
      <w:pgSz w:w="11906" w:h="16838"/>
      <w:pgMar w:left="1134" w:right="708" w:gutter="0" w:header="0" w:top="426" w:footer="510" w:bottom="567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Segoe UI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pStyle w:val="Heading2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pStyle w:val="Heading3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pStyle w:val="Heading4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pStyle w:val="Heading5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pStyle w:val="Heading6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ahoma" w:cs="Lohit Devanagari"/>
        <w:lang w:val="ru-RU" w:eastAsia="zh-CN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ahoma" w:cs="Lohit Devanagari"/>
      <w:color w:val="auto"/>
      <w:kern w:val="0"/>
      <w:sz w:val="20"/>
      <w:szCs w:val="20"/>
      <w:lang w:val="ru-RU" w:eastAsia="zh-CN" w:bidi="ar-SA"/>
    </w:rPr>
  </w:style>
  <w:style w:type="paragraph" w:styleId="Heading1">
    <w:name w:val="Heading 1"/>
    <w:basedOn w:val="Normal"/>
    <w:qFormat/>
    <w:pPr>
      <w:keepNext w:val="true"/>
      <w:numPr>
        <w:ilvl w:val="0"/>
        <w:numId w:val="1"/>
      </w:numPr>
      <w:jc w:val="center"/>
      <w:outlineLvl w:val="0"/>
    </w:pPr>
    <w:rPr>
      <w:sz w:val="24"/>
    </w:rPr>
  </w:style>
  <w:style w:type="paragraph" w:styleId="Heading2">
    <w:name w:val="Heading 2"/>
    <w:basedOn w:val="Normal"/>
    <w:qFormat/>
    <w:pPr>
      <w:keepNext w:val="true"/>
      <w:numPr>
        <w:ilvl w:val="1"/>
        <w:numId w:val="1"/>
      </w:numPr>
      <w:jc w:val="right"/>
      <w:outlineLvl w:val="1"/>
    </w:pPr>
    <w:rPr>
      <w:sz w:val="28"/>
    </w:rPr>
  </w:style>
  <w:style w:type="paragraph" w:styleId="Heading3">
    <w:name w:val="Heading 3"/>
    <w:basedOn w:val="Normal"/>
    <w:qFormat/>
    <w:pPr>
      <w:keepNext w:val="true"/>
      <w:numPr>
        <w:ilvl w:val="2"/>
        <w:numId w:val="1"/>
      </w:numPr>
      <w:outlineLvl w:val="2"/>
    </w:pPr>
    <w:rPr>
      <w:sz w:val="28"/>
    </w:rPr>
  </w:style>
  <w:style w:type="paragraph" w:styleId="Heading4">
    <w:name w:val="Heading 4"/>
    <w:basedOn w:val="Normal"/>
    <w:qFormat/>
    <w:pPr>
      <w:keepNext w:val="true"/>
      <w:numPr>
        <w:ilvl w:val="3"/>
        <w:numId w:val="1"/>
      </w:numPr>
      <w:jc w:val="right"/>
      <w:outlineLvl w:val="3"/>
    </w:pPr>
    <w:rPr>
      <w:rFonts w:ascii="Arial" w:hAnsi="Arial" w:cs="Arial"/>
      <w:i/>
      <w:iCs/>
      <w:color w:val="0000FF"/>
      <w:sz w:val="28"/>
      <w:szCs w:val="14"/>
    </w:rPr>
  </w:style>
  <w:style w:type="paragraph" w:styleId="Heading5">
    <w:name w:val="Heading 5"/>
    <w:basedOn w:val="Normal"/>
    <w:qFormat/>
    <w:pPr>
      <w:keepNext w:val="true"/>
      <w:numPr>
        <w:ilvl w:val="4"/>
        <w:numId w:val="1"/>
      </w:numPr>
      <w:jc w:val="both"/>
      <w:outlineLvl w:val="4"/>
    </w:pPr>
    <w:rPr>
      <w:rFonts w:ascii="Arial" w:hAnsi="Arial" w:cs="Arial"/>
      <w:sz w:val="28"/>
      <w:szCs w:val="14"/>
    </w:rPr>
  </w:style>
  <w:style w:type="paragraph" w:styleId="Heading6">
    <w:name w:val="Heading 6"/>
    <w:basedOn w:val="Normal"/>
    <w:qFormat/>
    <w:pPr>
      <w:keepNext w:val="true"/>
      <w:numPr>
        <w:ilvl w:val="5"/>
        <w:numId w:val="1"/>
      </w:numPr>
      <w:ind w:firstLine="280" w:left="0" w:right="0"/>
      <w:outlineLvl w:val="5"/>
    </w:pPr>
    <w:rPr>
      <w:rFonts w:ascii="Arial" w:hAnsi="Arial" w:cs="Arial"/>
      <w:sz w:val="28"/>
      <w:szCs w:val="14"/>
    </w:rPr>
  </w:style>
  <w:style w:type="paragraph" w:styleId="Heading7">
    <w:name w:val="Heading 7"/>
    <w:basedOn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Heading1Char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uiPriority w:val="10"/>
    <w:qFormat/>
    <w:rPr>
      <w:sz w:val="48"/>
      <w:szCs w:val="48"/>
    </w:rPr>
  </w:style>
  <w:style w:type="character" w:styleId="SubtitleChar">
    <w:name w:val="Subtitle Char"/>
    <w:uiPriority w:val="11"/>
    <w:qFormat/>
    <w:rPr>
      <w:sz w:val="24"/>
      <w:szCs w:val="24"/>
    </w:rPr>
  </w:style>
  <w:style w:type="character" w:styleId="QuoteChar">
    <w:name w:val="Quote Char"/>
    <w:uiPriority w:val="29"/>
    <w:qFormat/>
    <w:rPr>
      <w:i/>
    </w:rPr>
  </w:style>
  <w:style w:type="character" w:styleId="IntenseQuoteChar">
    <w:name w:val="Intense Quote Char"/>
    <w:uiPriority w:val="30"/>
    <w:qFormat/>
    <w:rPr>
      <w:i/>
    </w:rPr>
  </w:style>
  <w:style w:type="character" w:styleId="HeaderChar">
    <w:name w:val="Header Char"/>
    <w:uiPriority w:val="99"/>
    <w:qFormat/>
    <w:rPr/>
  </w:style>
  <w:style w:type="character" w:styleId="FooterChar">
    <w:name w:val="Footer Char"/>
    <w:uiPriority w:val="99"/>
    <w:qFormat/>
    <w:rPr/>
  </w:style>
  <w:style w:type="character" w:styleId="CaptionChar">
    <w:name w:val="Caption Char"/>
    <w:uiPriority w:val="99"/>
    <w:qFormat/>
    <w:rPr/>
  </w:style>
  <w:style w:type="character" w:styleId="Hyperlink">
    <w:name w:val="Hyperlink"/>
    <w:uiPriority w:val="99"/>
    <w:unhideWhenUsed/>
    <w:rPr>
      <w:color w:themeColor="hyperlink" w:val="0000FF"/>
      <w:u w:val="single"/>
    </w:rPr>
  </w:style>
  <w:style w:type="character" w:styleId="FootnoteTextChar">
    <w:name w:val="Footnote Text Char"/>
    <w:uiPriority w:val="99"/>
    <w:qFormat/>
    <w:rPr>
      <w:sz w:val="18"/>
    </w:rPr>
  </w:style>
  <w:style w:type="character" w:styleId="Style5">
    <w:name w:val="Символ сноски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Style6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7">
    <w:name w:val="Основной шрифт абзаца"/>
    <w:uiPriority w:val="1"/>
    <w:semiHidden/>
    <w:unhideWhenUsed/>
    <w:qFormat/>
    <w:rPr/>
  </w:style>
  <w:style w:type="character" w:styleId="2">
    <w:name w:val="Основной шрифт абзаца2"/>
    <w:qFormat/>
    <w:rPr/>
  </w:style>
  <w:style w:type="character" w:styleId="WW8Num1z0">
    <w:name w:val="WW8Num1z0"/>
    <w:qFormat/>
    <w:rPr/>
  </w:style>
  <w:style w:type="character" w:styleId="1">
    <w:name w:val="Основной шрифт абзаца1"/>
    <w:qFormat/>
    <w:rPr/>
  </w:style>
  <w:style w:type="character" w:styleId="PageNumber">
    <w:name w:val="Page Number"/>
    <w:basedOn w:val="1"/>
    <w:rPr/>
  </w:style>
  <w:style w:type="character" w:styleId="Style8">
    <w:name w:val="Текст выноски Знак"/>
    <w:qFormat/>
    <w:rPr>
      <w:rFonts w:ascii="Segoe UI" w:hAnsi="Segoe UI" w:cs="Segoe UI"/>
      <w:sz w:val="18"/>
      <w:szCs w:val="18"/>
    </w:rPr>
  </w:style>
  <w:style w:type="character" w:styleId="Style9">
    <w:name w:val="Строгий"/>
    <w:qFormat/>
    <w:rPr>
      <w:b/>
      <w:bCs/>
    </w:rPr>
  </w:style>
  <w:style w:type="character" w:styleId="Style10">
    <w:name w:val="Выделение"/>
    <w:qFormat/>
    <w:rPr>
      <w:i/>
      <w:i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1">
    <w:name w:val="Заголовок"/>
    <w:basedOn w:val="Normal"/>
    <w:next w:val="BodyText"/>
    <w:qFormat/>
    <w:pPr>
      <w:jc w:val="center"/>
    </w:pPr>
    <w:rPr>
      <w:b/>
      <w:sz w:val="28"/>
    </w:rPr>
  </w:style>
  <w:style w:type="paragraph" w:styleId="BodyText">
    <w:name w:val="Body Text"/>
    <w:basedOn w:val="Normal"/>
    <w:pPr/>
    <w:rPr>
      <w:sz w:val="28"/>
    </w:rPr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uiPriority w:val="35"/>
    <w:semiHidden/>
    <w:unhideWhenUsed/>
    <w:qFormat/>
    <w:pPr>
      <w:spacing w:lineRule="auto" w:line="276"/>
    </w:pPr>
    <w:rPr>
      <w:b/>
      <w:bCs/>
      <w:color w:themeColor="accent1" w:val="4F81BD"/>
      <w:sz w:val="18"/>
      <w:szCs w:val="18"/>
    </w:rPr>
  </w:style>
  <w:style w:type="paragraph" w:styleId="Style12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/>
      <w:contextualSpacing/>
    </w:pPr>
    <w:rPr/>
  </w:style>
  <w:style w:type="paragraph" w:styleId="NoSpacing">
    <w:name w:val="No Spacing"/>
    <w:uiPriority w:val="1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ahoma" w:cs="Lohit Devanagari"/>
      <w:color w:val="auto"/>
      <w:kern w:val="0"/>
      <w:sz w:val="20"/>
      <w:szCs w:val="20"/>
      <w:lang w:val="ru-RU" w:eastAsia="zh-CN" w:bidi="ar-SA"/>
    </w:rPr>
  </w:style>
  <w:style w:type="paragraph" w:styleId="Title">
    <w:name w:val="Title"/>
    <w:basedOn w:val="Normal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qFormat/>
    <w:pPr>
      <w:jc w:val="center"/>
    </w:pPr>
    <w:rPr>
      <w:sz w:val="32"/>
    </w:rPr>
  </w:style>
  <w:style w:type="paragraph" w:styleId="Quote">
    <w:name w:val="Quote"/>
    <w:basedOn w:val="Normal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0"/>
      <w:ind w:left="720" w:right="720"/>
    </w:pPr>
    <w:rPr>
      <w:i/>
    </w:rPr>
  </w:style>
  <w:style w:type="paragraph" w:styleId="Style13">
    <w:name w:val="Колонтитул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uiPriority w:val="99"/>
    <w:unhideWhenUsed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uiPriority w:val="99"/>
    <w:unhideWhenUsed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noteText">
    <w:name w:val="Footnote Text"/>
    <w:basedOn w:val="Normal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EndnoteText">
    <w:name w:val="Endnote Text"/>
    <w:basedOn w:val="Normal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TOC1">
    <w:name w:val="TOC 1"/>
    <w:basedOn w:val="Normal"/>
    <w:uiPriority w:val="39"/>
    <w:unhideWhenUsed/>
    <w:pPr>
      <w:spacing w:before="0" w:after="57"/>
      <w:ind w:hanging="0" w:left="0" w:right="0"/>
    </w:pPr>
    <w:rPr/>
  </w:style>
  <w:style w:type="paragraph" w:styleId="TOC2">
    <w:name w:val="TOC 2"/>
    <w:basedOn w:val="Normal"/>
    <w:uiPriority w:val="39"/>
    <w:unhideWhenUsed/>
    <w:pPr>
      <w:spacing w:before="0" w:after="57"/>
      <w:ind w:hanging="0" w:left="283" w:right="0"/>
    </w:pPr>
    <w:rPr/>
  </w:style>
  <w:style w:type="paragraph" w:styleId="TOC3">
    <w:name w:val="TOC 3"/>
    <w:basedOn w:val="Normal"/>
    <w:uiPriority w:val="39"/>
    <w:unhideWhenUsed/>
    <w:pPr>
      <w:spacing w:before="0" w:after="57"/>
      <w:ind w:hanging="0" w:left="567" w:right="0"/>
    </w:pPr>
    <w:rPr/>
  </w:style>
  <w:style w:type="paragraph" w:styleId="TOC4">
    <w:name w:val="TOC 4"/>
    <w:basedOn w:val="Normal"/>
    <w:uiPriority w:val="39"/>
    <w:unhideWhenUsed/>
    <w:pPr>
      <w:spacing w:before="0" w:after="57"/>
      <w:ind w:hanging="0" w:left="850" w:right="0"/>
    </w:pPr>
    <w:rPr/>
  </w:style>
  <w:style w:type="paragraph" w:styleId="TOC5">
    <w:name w:val="TOC 5"/>
    <w:basedOn w:val="Normal"/>
    <w:uiPriority w:val="39"/>
    <w:unhideWhenUsed/>
    <w:pPr>
      <w:spacing w:before="0" w:after="57"/>
      <w:ind w:hanging="0" w:left="1134" w:right="0"/>
    </w:pPr>
    <w:rPr/>
  </w:style>
  <w:style w:type="paragraph" w:styleId="TOC6">
    <w:name w:val="TOC 6"/>
    <w:basedOn w:val="Normal"/>
    <w:uiPriority w:val="39"/>
    <w:unhideWhenUsed/>
    <w:pPr>
      <w:spacing w:before="0" w:after="57"/>
      <w:ind w:hanging="0" w:left="1417" w:right="0"/>
    </w:pPr>
    <w:rPr/>
  </w:style>
  <w:style w:type="paragraph" w:styleId="TOC7">
    <w:name w:val="TOC 7"/>
    <w:basedOn w:val="Normal"/>
    <w:uiPriority w:val="39"/>
    <w:unhideWhenUsed/>
    <w:pPr>
      <w:spacing w:before="0" w:after="57"/>
      <w:ind w:hanging="0" w:left="1701" w:right="0"/>
    </w:pPr>
    <w:rPr/>
  </w:style>
  <w:style w:type="paragraph" w:styleId="TOC8">
    <w:name w:val="TOC 8"/>
    <w:basedOn w:val="Normal"/>
    <w:uiPriority w:val="39"/>
    <w:unhideWhenUsed/>
    <w:pPr>
      <w:spacing w:before="0" w:after="57"/>
      <w:ind w:hanging="0" w:left="1984" w:right="0"/>
    </w:pPr>
    <w:rPr/>
  </w:style>
  <w:style w:type="paragraph" w:styleId="TOC9">
    <w:name w:val="TOC 9"/>
    <w:basedOn w:val="Normal"/>
    <w:uiPriority w:val="39"/>
    <w:unhideWhenUsed/>
    <w:pPr>
      <w:spacing w:before="0" w:after="57"/>
      <w:ind w:hanging="0" w:left="2268" w:right="0"/>
    </w:pPr>
    <w:rPr/>
  </w:style>
  <w:style w:type="paragraph" w:styleId="IndexHeading">
    <w:name w:val="Index Heading"/>
    <w:basedOn w:val="Style11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ahoma" w:cs="Lohit Devanagari"/>
      <w:color w:val="auto"/>
      <w:kern w:val="0"/>
      <w:sz w:val="20"/>
      <w:szCs w:val="20"/>
      <w:lang w:val="ru-RU" w:eastAsia="zh-CN" w:bidi="ar-SA"/>
    </w:rPr>
  </w:style>
  <w:style w:type="paragraph" w:styleId="TableofFigures">
    <w:name w:val="Table of Figures"/>
    <w:basedOn w:val="Normal"/>
    <w:uiPriority w:val="99"/>
    <w:unhideWhenUsed/>
    <w:pPr>
      <w:spacing w:before="0" w:afterAutospacing="0" w:after="0"/>
    </w:pPr>
    <w:rPr/>
  </w:style>
  <w:style w:type="paragraph" w:styleId="Style14">
    <w:name w:val="Название объекта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21">
    <w:name w:val="Указатель2"/>
    <w:basedOn w:val="Normal"/>
    <w:qFormat/>
    <w:pPr>
      <w:suppressLineNumbers/>
    </w:pPr>
    <w:rPr>
      <w:rFonts w:cs="Lohit Devanagari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11">
    <w:name w:val="Название объекта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12">
    <w:name w:val="Указатель1"/>
    <w:basedOn w:val="Normal"/>
    <w:qFormat/>
    <w:pPr>
      <w:suppressLineNumbers/>
    </w:pPr>
    <w:rPr>
      <w:rFonts w:cs="Lohit Devanagari"/>
    </w:rPr>
  </w:style>
  <w:style w:type="paragraph" w:styleId="Style15">
    <w:name w:val="Обычный (веб)"/>
    <w:basedOn w:val="Normal"/>
    <w:qFormat/>
    <w:pPr>
      <w:spacing w:before="100" w:after="100"/>
    </w:pPr>
    <w:rPr>
      <w:sz w:val="24"/>
      <w:szCs w:val="24"/>
    </w:rPr>
  </w:style>
  <w:style w:type="paragraph" w:styleId="Style16">
    <w:name w:val="Текст выноски"/>
    <w:basedOn w:val="Normal"/>
    <w:qFormat/>
    <w:pPr/>
    <w:rPr>
      <w:rFonts w:ascii="Segoe UI" w:hAnsi="Segoe UI" w:cs="Segoe UI"/>
      <w:sz w:val="18"/>
      <w:szCs w:val="18"/>
    </w:rPr>
  </w:style>
  <w:style w:type="paragraph" w:styleId="Style17">
    <w:name w:val="Содержимое таблицы"/>
    <w:basedOn w:val="Normal"/>
    <w:qFormat/>
    <w:pPr>
      <w:widowControl w:val="false"/>
      <w:suppressLineNumbers/>
    </w:pPr>
    <w:rPr/>
  </w:style>
  <w:style w:type="paragraph" w:styleId="Style18">
    <w:name w:val="Заголовок таблицы"/>
    <w:basedOn w:val="Style17"/>
    <w:qFormat/>
    <w:pPr>
      <w:suppressLineNumbers/>
      <w:jc w:val="center"/>
    </w:pPr>
    <w:rPr>
      <w:b/>
      <w:bCs/>
    </w:rPr>
  </w:style>
  <w:style w:type="paragraph" w:styleId="Caption111111111111">
    <w:name w:val="Caption111111111111"/>
    <w:basedOn w:val="Normal"/>
    <w:qFormat/>
    <w:pPr>
      <w:widowControl/>
      <w:suppressAutoHyphens w:val="true"/>
      <w:bidi w:val="0"/>
      <w:spacing w:before="120" w:after="120"/>
      <w:jc w:val="left"/>
    </w:pPr>
    <w:rPr>
      <w:rFonts w:cs="Lohit Devanagari"/>
      <w:i/>
      <w:iCs/>
      <w:color w:val="auto"/>
      <w:sz w:val="24"/>
      <w:szCs w:val="24"/>
      <w:lang w:val="ru-RU" w:eastAsia="zh-CN" w:bidi="ar-SA"/>
    </w:rPr>
  </w:style>
  <w:style w:type="paragraph" w:styleId="Caption11111111111">
    <w:name w:val="Caption11111111111"/>
    <w:basedOn w:val="Normal"/>
    <w:qFormat/>
    <w:pPr>
      <w:widowControl/>
      <w:suppressAutoHyphens w:val="true"/>
      <w:bidi w:val="0"/>
      <w:spacing w:before="120" w:after="120"/>
      <w:jc w:val="left"/>
    </w:pPr>
    <w:rPr>
      <w:rFonts w:cs="Lohit Devanagari"/>
      <w:i/>
      <w:iCs/>
      <w:color w:val="auto"/>
      <w:sz w:val="24"/>
      <w:szCs w:val="24"/>
      <w:lang w:val="ru-RU" w:eastAsia="zh-CN" w:bidi="ar-SA"/>
    </w:rPr>
  </w:style>
  <w:style w:type="paragraph" w:styleId="Caption1111111111">
    <w:name w:val="Caption1111111111"/>
    <w:basedOn w:val="Normal"/>
    <w:qFormat/>
    <w:pPr>
      <w:widowControl/>
      <w:suppressAutoHyphens w:val="true"/>
      <w:bidi w:val="0"/>
      <w:spacing w:before="120" w:after="120"/>
      <w:jc w:val="left"/>
    </w:pPr>
    <w:rPr>
      <w:rFonts w:cs="Lohit Devanagari"/>
      <w:i/>
      <w:iCs/>
      <w:color w:val="auto"/>
      <w:sz w:val="24"/>
      <w:szCs w:val="24"/>
      <w:lang w:val="ru-RU" w:eastAsia="zh-CN" w:bidi="ar-SA"/>
    </w:rPr>
  </w:style>
  <w:style w:type="paragraph" w:styleId="Caption111111111">
    <w:name w:val="Caption111111111"/>
    <w:basedOn w:val="Normal"/>
    <w:qFormat/>
    <w:pPr>
      <w:widowControl/>
      <w:suppressAutoHyphens w:val="true"/>
      <w:bidi w:val="0"/>
      <w:spacing w:before="120" w:after="120"/>
      <w:jc w:val="left"/>
    </w:pPr>
    <w:rPr>
      <w:rFonts w:cs="Lohit Devanagari"/>
      <w:i/>
      <w:iCs/>
      <w:color w:val="auto"/>
      <w:sz w:val="24"/>
      <w:szCs w:val="24"/>
      <w:lang w:val="ru-RU" w:eastAsia="zh-CN" w:bidi="ar-SA"/>
    </w:rPr>
  </w:style>
  <w:style w:type="paragraph" w:styleId="Caption11111111">
    <w:name w:val="Caption11111111"/>
    <w:basedOn w:val="Normal"/>
    <w:qFormat/>
    <w:pPr>
      <w:widowControl/>
      <w:suppressAutoHyphens w:val="true"/>
      <w:bidi w:val="0"/>
      <w:spacing w:before="120" w:after="120"/>
      <w:jc w:val="left"/>
    </w:pPr>
    <w:rPr>
      <w:rFonts w:cs="Lohit Devanagari"/>
      <w:i/>
      <w:iCs/>
      <w:color w:val="auto"/>
      <w:sz w:val="24"/>
      <w:szCs w:val="24"/>
      <w:lang w:val="ru-RU" w:eastAsia="zh-CN" w:bidi="ar-SA"/>
    </w:rPr>
  </w:style>
  <w:style w:type="paragraph" w:styleId="Caption2">
    <w:name w:val="Caption2"/>
    <w:basedOn w:val="Normal"/>
    <w:qFormat/>
    <w:pPr>
      <w:widowControl/>
      <w:suppressAutoHyphens w:val="true"/>
      <w:bidi w:val="0"/>
      <w:spacing w:before="120" w:after="120"/>
      <w:jc w:val="left"/>
    </w:pPr>
    <w:rPr>
      <w:rFonts w:cs="Lohit Devanagari"/>
      <w:i/>
      <w:iCs/>
      <w:color w:val="auto"/>
      <w:sz w:val="24"/>
      <w:szCs w:val="24"/>
      <w:lang w:val="ru-RU" w:eastAsia="zh-CN" w:bidi="ar-SA"/>
    </w:rPr>
  </w:style>
  <w:style w:type="numbering" w:styleId="Style19">
    <w:name w:val="Нет списка"/>
    <w:uiPriority w:val="99"/>
    <w:semiHidden/>
    <w:unhideWhenUsed/>
    <w:qFormat/>
  </w:style>
  <w:style w:type="numbering" w:styleId="NoList" w:default="1">
    <w:name w:val="No List"/>
    <w:uiPriority w:val="99"/>
    <w:semiHidden/>
    <w:unhideWhenUsed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 pitchFamily="0" charset="1"/>
        <a:ea typeface="Arial" pitchFamily="0" charset="1"/>
        <a:cs typeface="Arial" pitchFamily="0" charset="1"/>
      </a:majorFont>
      <a:minorFont>
        <a:latin typeface="Arial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LibreOffice/7.6.7.2$Linux_X86_64 LibreOffice_project/60$Build-2</Application>
  <AppVersion>15.0000</AppVersion>
  <Pages>1</Pages>
  <Words>233</Words>
  <Characters>2102</Characters>
  <CharactersWithSpaces>2361</CharactersWithSpaces>
  <Paragraphs>56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Сарбашев</dc:creator>
  <dc:description/>
  <dc:language>ru-RU</dc:language>
  <cp:lastModifiedBy/>
  <dcterms:modified xsi:type="dcterms:W3CDTF">2026-07-15T10:40:01Z</dcterms:modified>
  <cp:revision>10</cp:revision>
  <dc:subject/>
  <dc:title>АКТ</dc:title>
  <cp:version>983040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