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aption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Caption"/>
        <w:rPr>
          <w:sz w:val="22"/>
          <w:szCs w:val="22"/>
        </w:rPr>
      </w:pPr>
      <w:r>
        <w:rPr>
          <w:sz w:val="22"/>
          <w:szCs w:val="22"/>
        </w:rPr>
        <w:t>АКТ</w:t>
      </w:r>
    </w:p>
    <w:p>
      <w:pPr>
        <w:pStyle w:val="Subtitle"/>
        <w:rPr>
          <w:sz w:val="24"/>
          <w:szCs w:val="24"/>
        </w:rPr>
      </w:pPr>
      <w:r>
        <w:rPr>
          <w:sz w:val="24"/>
          <w:szCs w:val="24"/>
        </w:rPr>
        <w:t xml:space="preserve">Технического осмотра транспортного средства </w:t>
      </w:r>
    </w:p>
    <w:p>
      <w:pPr>
        <w:pStyle w:val="Heading1"/>
        <w:rPr>
          <w:szCs w:val="24"/>
        </w:rPr>
      </w:pPr>
      <w:r>
        <w:rPr>
          <w:szCs w:val="24"/>
        </w:rPr>
        <w:t>Составлен «    »                   2026 года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10208" w:type="dxa"/>
        <w:jc w:val="left"/>
        <w:tblInd w:w="-13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1" w:val="04a0" w:noHBand="0" w:lastColumn="0" w:firstColumn="1" w:lastRow="0" w:firstRow="1"/>
      </w:tblPr>
      <w:tblGrid>
        <w:gridCol w:w="5104"/>
        <w:gridCol w:w="5103"/>
      </w:tblGrid>
      <w:tr>
        <w:trPr>
          <w:trHeight w:val="43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Марка, модель ТС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widowControl w:val="false"/>
              <w:jc w:val="left"/>
              <w:rPr>
                <w:rFonts w:ascii="Times New Roman" w:hAnsi="Times New Roman" w:eastAsia="Arial Unicode MS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eastAsia="Arial Unicode MS" w:ascii="Times New Roman" w:hAnsi="Times New Roman"/>
                <w:b/>
                <w:i w:val="false"/>
                <w:color w:val="000000"/>
                <w:sz w:val="24"/>
                <w:szCs w:val="24"/>
              </w:rPr>
              <w:t>JCB 4CX</w:t>
            </w:r>
          </w:p>
        </w:tc>
      </w:tr>
      <w:tr>
        <w:trPr>
          <w:trHeight w:val="43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5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>Государственный регистрационный номер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widowControl w:val="false"/>
              <w:jc w:val="left"/>
              <w:rPr>
                <w:rFonts w:ascii="Times New Roman" w:hAnsi="Times New Roman"/>
                <w:b/>
                <w:b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</w:r>
          </w:p>
          <w:p>
            <w:pPr>
              <w:pStyle w:val="Heading4"/>
              <w:widowControl w:val="false"/>
              <w:ind w:left="284" w:hanging="0"/>
              <w:jc w:val="left"/>
              <w:rPr>
                <w:rFonts w:ascii="Times New Roman" w:hAnsi="Times New Roman" w:eastAsia="Arial Unicode MS"/>
                <w:color w:val="000000"/>
                <w:lang w:val="en-U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0889MX 02</w:t>
            </w:r>
          </w:p>
        </w:tc>
      </w:tr>
      <w:tr>
        <w:trPr>
          <w:trHeight w:val="43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5"/>
              <w:widowControl w:val="false"/>
              <w:jc w:val="left"/>
              <w:rPr>
                <w:rFonts w:ascii="Times New Roman" w:hAnsi="Times New Roman" w:eastAsia="Arial Unicode MS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widowControl w:val="false"/>
              <w:ind w:left="284" w:hanging="0"/>
              <w:jc w:val="left"/>
              <w:rPr>
                <w:rFonts w:ascii="Times New Roman" w:hAnsi="Times New Roman" w:eastAsia="Arial Unicode MS"/>
                <w:b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01-05000271</w:t>
            </w:r>
          </w:p>
        </w:tc>
      </w:tr>
      <w:tr>
        <w:trPr>
          <w:trHeight w:val="300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Идентификационный номер (VIN)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widowControl w:val="false"/>
              <w:ind w:left="284" w:hanging="0"/>
              <w:jc w:val="left"/>
              <w:rPr>
                <w:rFonts w:ascii="Times New Roman" w:hAnsi="Times New Roman" w:eastAsia="Arial Unicode MS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Arial Unicode MS" w:ascii="Times New Roman" w:hAnsi="Times New Roman"/>
                <w:b/>
                <w:i w:val="false"/>
                <w:color w:val="000000"/>
                <w:sz w:val="24"/>
                <w:szCs w:val="24"/>
              </w:rPr>
              <w:t>JCB4CXSMT71329645</w:t>
            </w:r>
          </w:p>
        </w:tc>
      </w:tr>
      <w:tr>
        <w:trPr>
          <w:trHeight w:val="341" w:hRule="atLeast"/>
          <w:cantSplit w:val="true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Год выпуска ТС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284" w:hanging="0"/>
              <w:rPr>
                <w:rFonts w:eastAsia="Arial Unicode MS"/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2007</w:t>
            </w:r>
          </w:p>
        </w:tc>
      </w:tr>
      <w:tr>
        <w:trPr>
          <w:trHeight w:val="90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Модель, № двигателя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284" w:hanging="0"/>
              <w:rPr>
                <w:rFonts w:eastAsia="Arial Unicode MS"/>
                <w:b/>
                <w:b/>
                <w:i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JCB 44463, SB40066U1884907</w:t>
            </w:r>
          </w:p>
        </w:tc>
      </w:tr>
      <w:tr>
        <w:trPr>
          <w:trHeight w:val="25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Шасси, (рама) 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284" w:hanging="0"/>
              <w:rPr>
                <w:rFonts w:eastAsia="Arial Unicode MS"/>
                <w:b/>
                <w:b/>
                <w:sz w:val="24"/>
                <w:szCs w:val="24"/>
              </w:rPr>
            </w:pPr>
            <w:r>
              <w:rPr>
                <w:rFonts w:eastAsia="Arial Unicode MS"/>
                <w:b/>
                <w:sz w:val="24"/>
                <w:szCs w:val="24"/>
              </w:rPr>
              <w:t>------------------------</w:t>
            </w:r>
          </w:p>
        </w:tc>
      </w:tr>
      <w:tr>
        <w:trPr>
          <w:trHeight w:val="25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Кузов, (прицеп) 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widowControl w:val="false"/>
              <w:ind w:left="284" w:hanging="0"/>
              <w:jc w:val="left"/>
              <w:rPr>
                <w:rFonts w:ascii="Times New Roman" w:hAnsi="Times New Roman" w:eastAsia="Arial Unicode MS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------------------------</w:t>
            </w:r>
          </w:p>
        </w:tc>
      </w:tr>
      <w:tr>
        <w:trPr>
          <w:trHeight w:val="90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Цвет кузова (кабины)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hanging="0"/>
              <w:rPr>
                <w:rFonts w:eastAsia="Arial Unicode MS"/>
                <w:b/>
                <w:b/>
                <w:i w:val="false"/>
                <w:i w:val="false"/>
                <w:sz w:val="24"/>
                <w:szCs w:val="24"/>
              </w:rPr>
            </w:pPr>
            <w:r>
              <w:rPr>
                <w:rFonts w:eastAsia="Arial Unicode MS"/>
                <w:b/>
                <w:i w:val="false"/>
                <w:sz w:val="24"/>
                <w:szCs w:val="24"/>
              </w:rPr>
              <w:t xml:space="preserve">    </w:t>
            </w:r>
            <w:r>
              <w:rPr>
                <w:rFonts w:eastAsia="Arial Unicode MS"/>
                <w:b/>
                <w:i w:val="false"/>
                <w:sz w:val="24"/>
                <w:szCs w:val="24"/>
              </w:rPr>
              <w:t>Желтый</w:t>
            </w:r>
          </w:p>
        </w:tc>
      </w:tr>
      <w:tr>
        <w:trPr>
          <w:trHeight w:val="360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Паспорт транспортного средства (ПТС)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ind w:left="284" w:hanging="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RU CB 574562</w:t>
            </w:r>
          </w:p>
        </w:tc>
      </w:tr>
      <w:tr>
        <w:trPr>
          <w:trHeight w:val="31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6"/>
              <w:widowControl w:val="false"/>
              <w:ind w:firstLine="240"/>
              <w:rPr>
                <w:rFonts w:ascii="Times New Roman" w:hAnsi="Times New Roman" w:eastAsia="Arial Unicode MS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Свидетельство о регистрации ТС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ind w:left="284" w:hanging="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CK № 376003</w:t>
            </w:r>
          </w:p>
        </w:tc>
      </w:tr>
      <w:tr>
        <w:trPr>
          <w:trHeight w:val="31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6"/>
              <w:widowControl w:val="false"/>
              <w:ind w:first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Балансовая стоимость, руб.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284" w:hanging="0"/>
              <w:rPr>
                <w:color w:val="auto"/>
                <w:highlight w:val="none"/>
                <w:shd w:fill="auto" w:val="clear"/>
              </w:rPr>
            </w:pPr>
            <w:r>
              <w:rPr>
                <w:b/>
                <w:color w:val="000000" w:themeColor="text1"/>
                <w:sz w:val="24"/>
                <w:szCs w:val="24"/>
                <w:shd w:fill="auto" w:val="clear"/>
              </w:rPr>
              <w:t>4208722,24</w:t>
            </w:r>
          </w:p>
        </w:tc>
      </w:tr>
      <w:tr>
        <w:trPr>
          <w:trHeight w:val="31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6"/>
              <w:widowControl w:val="false"/>
              <w:ind w:first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Остаточная стоимость, руб.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4"/>
              <w:widowControl w:val="false"/>
              <w:ind w:left="284" w:hanging="0"/>
              <w:jc w:val="lef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olor w:val="000000" w:themeColor="text1"/>
                <w:sz w:val="24"/>
                <w:szCs w:val="24"/>
                <w:shd w:fill="auto" w:val="clear"/>
              </w:rPr>
              <w:t>102311,21</w:t>
            </w:r>
          </w:p>
        </w:tc>
      </w:tr>
      <w:tr>
        <w:trPr>
          <w:trHeight w:val="315" w:hRule="atLeast"/>
        </w:trPr>
        <w:tc>
          <w:tcPr>
            <w:tcW w:w="5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6"/>
              <w:widowControl w:val="false"/>
              <w:numPr>
                <w:ilvl w:val="0"/>
                <w:numId w:val="0"/>
              </w:numPr>
              <w:ind w:lef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>Наработка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моточасы)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4"/>
              <w:widowControl w:val="false"/>
              <w:ind w:left="284" w:hanging="0"/>
              <w:jc w:val="left"/>
              <w:rPr>
                <w:color w:val="111111"/>
              </w:rPr>
            </w:pPr>
            <w:r>
              <w:rPr>
                <w:rFonts w:ascii="Times New Roman" w:hAnsi="Times New Roman"/>
                <w:b/>
                <w:i w:val="false"/>
                <w:color w:val="111111"/>
                <w:sz w:val="24"/>
                <w:szCs w:val="24"/>
              </w:rPr>
              <w:t>4844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  <w:highlight w:val="none"/>
        </w:rPr>
      </w:pPr>
      <w:r>
        <w:rPr>
          <w:sz w:val="24"/>
          <w:szCs w:val="24"/>
        </w:rPr>
        <w:t>Принадлежность транспортного средства филиал</w:t>
      </w:r>
    </w:p>
    <w:p>
      <w:pPr>
        <w:pStyle w:val="Normal"/>
        <w:rPr>
          <w:i/>
          <w:i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ПАО «Газпром газораспределение Уфа» в д. Князево (Центральный филиал)              </w:t>
      </w:r>
      <w:r>
        <w:rPr>
          <w:i/>
          <w:sz w:val="24"/>
          <w:szCs w:val="24"/>
        </w:rPr>
        <w:t xml:space="preserve">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Адрес владельца: </w:t>
      </w:r>
      <w:r>
        <w:rPr>
          <w:i/>
          <w:sz w:val="24"/>
          <w:szCs w:val="24"/>
        </w:rPr>
        <w:t xml:space="preserve">450069  г. Уфа, Калининский район, д. Князево, ул. Кирова д.2.   </w:t>
      </w:r>
      <w:r>
        <w:rPr>
          <w:sz w:val="24"/>
          <w:szCs w:val="24"/>
        </w:rPr>
        <w:t xml:space="preserve">                                             </w:t>
      </w:r>
      <w:r>
        <w:rPr>
          <w:i/>
          <w:sz w:val="24"/>
          <w:szCs w:val="24"/>
        </w:rPr>
        <w:t xml:space="preserve">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  <w:highlight w:val="none"/>
        </w:rPr>
      </w:pPr>
      <w:r>
        <w:rPr>
          <w:sz w:val="24"/>
          <w:szCs w:val="24"/>
        </w:rPr>
        <w:t>В результате визуального осмотра установлено: ____________________________________</w:t>
      </w:r>
    </w:p>
    <w:p>
      <w:pPr>
        <w:pStyle w:val="Normal"/>
        <w:rPr>
          <w:sz w:val="24"/>
          <w:szCs w:val="24"/>
          <w:highlight w:val="none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1. Заменены следующие агрегаты базовой комплектации:</w:t>
      </w:r>
    </w:p>
    <w:p>
      <w:pPr>
        <w:pStyle w:val="Normal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</w:t>
      </w:r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  <w:u w:val="single"/>
        </w:rPr>
        <w:t>нет</w:t>
      </w:r>
      <w:r>
        <w:rPr>
          <w:u w:val="single"/>
        </w:rPr>
        <w:t xml:space="preserve">                                                                                             </w:t>
      </w:r>
    </w:p>
    <w:p>
      <w:pPr>
        <w:pStyle w:val="Normal"/>
        <w:rPr>
          <w:sz w:val="24"/>
          <w:szCs w:val="24"/>
          <w:u w:val="single"/>
        </w:rPr>
      </w:pPr>
      <w:r>
        <w:rPr>
          <w:sz w:val="24"/>
          <w:szCs w:val="24"/>
          <w:u w:val="none"/>
        </w:rPr>
        <w:t xml:space="preserve">     </w:t>
      </w:r>
    </w:p>
    <w:p>
      <w:pPr>
        <w:pStyle w:val="Normal"/>
        <w:rPr>
          <w:szCs w:val="24"/>
          <w:highlight w:val="none"/>
          <w:u w:val="none"/>
        </w:rPr>
      </w:pPr>
      <w:r>
        <w:rPr>
          <w:sz w:val="24"/>
          <w:szCs w:val="24"/>
        </w:rPr>
        <w:t xml:space="preserve">2. Проведено переоборудование с заменой базовых агрегатов: </w:t>
      </w:r>
    </w:p>
    <w:p>
      <w:pPr>
        <w:pStyle w:val="Normal"/>
        <w:rPr>
          <w:sz w:val="24"/>
          <w:szCs w:val="24"/>
          <w:highlight w:val="none"/>
          <w:u w:val="none"/>
        </w:rPr>
      </w:pPr>
      <w:r>
        <w:rPr>
          <w:sz w:val="24"/>
          <w:u w:val="none"/>
        </w:rPr>
        <w:t>____________________________________</w:t>
      </w:r>
      <w:r>
        <w:rPr>
          <w:sz w:val="24"/>
          <w:u w:val="single"/>
        </w:rPr>
        <w:t>нет</w:t>
      </w:r>
      <w:r>
        <w:rPr>
          <w:sz w:val="24"/>
          <w:u w:val="none"/>
        </w:rPr>
        <w:t>____________________________________</w:t>
      </w:r>
      <w:r>
        <w:rPr>
          <w:sz w:val="24"/>
          <w:u w:val="single"/>
        </w:rPr>
        <w:t xml:space="preserve">                                                            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  <w:highlight w:val="none"/>
        </w:rPr>
      </w:pPr>
      <w:r>
        <w:rPr>
          <w:sz w:val="24"/>
          <w:szCs w:val="24"/>
        </w:rPr>
        <w:t>3. Дополнительно установленное оборудование:</w:t>
      </w:r>
    </w:p>
    <w:p>
      <w:pPr>
        <w:pStyle w:val="Normal"/>
        <w:rPr>
          <w:u w:val="single"/>
        </w:rPr>
      </w:pPr>
      <w:r>
        <w:rPr>
          <w:u w:val="single"/>
        </w:rPr>
        <w:t xml:space="preserve">                                                                                    </w:t>
      </w:r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  <w:u w:val="single"/>
        </w:rPr>
        <w:t>нет</w:t>
      </w:r>
      <w:r>
        <w:rPr>
          <w:sz w:val="24"/>
          <w:szCs w:val="24"/>
          <w:u w:val="single"/>
        </w:rPr>
        <w:t>_</w:t>
      </w:r>
      <w:r>
        <w:rPr>
          <w:sz w:val="24"/>
          <w:szCs w:val="24"/>
          <w:u w:val="none"/>
        </w:rPr>
        <w:t>_________________________________</w:t>
      </w:r>
      <w:r>
        <w:rPr>
          <w:sz w:val="24"/>
          <w:szCs w:val="24"/>
          <w:u w:val="single"/>
        </w:rPr>
        <w:t xml:space="preserve"> </w:t>
      </w:r>
      <w:r>
        <w:rPr>
          <w:u w:val="single"/>
        </w:rPr>
        <w:t xml:space="preserve">                                                                                               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  <w:highlight w:val="none"/>
        </w:rPr>
      </w:pPr>
      <w:r>
        <w:rPr>
          <w:sz w:val="24"/>
          <w:szCs w:val="24"/>
        </w:rPr>
        <w:t>4. Отсутствуют следующие агрегаты базовой комплектации:</w:t>
      </w:r>
    </w:p>
    <w:p>
      <w:pPr>
        <w:pStyle w:val="Normal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                                               </w:t>
      </w:r>
      <w:r>
        <w:rPr>
          <w:sz w:val="24"/>
          <w:szCs w:val="24"/>
          <w:u w:val="single"/>
        </w:rPr>
        <w:t>нет</w:t>
      </w:r>
      <w:r>
        <w:rPr>
          <w:sz w:val="24"/>
          <w:szCs w:val="24"/>
          <w:u w:val="none"/>
        </w:rPr>
        <w:t>____________________________________</w:t>
      </w:r>
      <w:r>
        <w:rPr>
          <w:sz w:val="24"/>
          <w:szCs w:val="24"/>
          <w:u w:val="single"/>
        </w:rPr>
        <w:t xml:space="preserve">                                                                              </w:t>
      </w:r>
    </w:p>
    <w:p>
      <w:pPr>
        <w:pStyle w:val="Normal"/>
        <w:rPr>
          <w:color w:val="000000"/>
          <w:sz w:val="24"/>
          <w:szCs w:val="24"/>
          <w:u w:val="single"/>
        </w:rPr>
      </w:pPr>
      <w:r>
        <w:rPr>
          <w:color w:val="000000" w:themeColor="text1"/>
          <w:sz w:val="24"/>
          <w:szCs w:val="24"/>
          <w:u w:val="single"/>
        </w:rPr>
        <w:t xml:space="preserve">5. Эксплуатационные дефекты: </w:t>
      </w:r>
    </w:p>
    <w:p>
      <w:pPr>
        <w:pStyle w:val="Normal"/>
        <w:rPr>
          <w:sz w:val="24"/>
          <w:szCs w:val="24"/>
          <w:highlight w:val="none"/>
          <w:u w:val="none"/>
        </w:rPr>
      </w:pPr>
      <w:r>
        <w:rPr>
          <w:b/>
          <w:sz w:val="24"/>
          <w:szCs w:val="24"/>
        </w:rPr>
        <w:t>Двигатель:</w:t>
      </w:r>
      <w:r>
        <w:rPr>
          <w:b w:val="false"/>
          <w:bCs w:val="false"/>
          <w:sz w:val="24"/>
          <w:szCs w:val="24"/>
          <w:u w:val="single"/>
        </w:rPr>
        <w:t xml:space="preserve"> </w:t>
      </w:r>
      <w:r>
        <w:rPr>
          <w:b w:val="false"/>
          <w:bCs w:val="false"/>
          <w:sz w:val="24"/>
          <w:szCs w:val="24"/>
          <w:u w:val="single"/>
        </w:rPr>
        <w:t>Р</w:t>
      </w:r>
      <w:r>
        <w:rPr>
          <w:b w:val="false"/>
          <w:bCs w:val="false"/>
          <w:sz w:val="24"/>
          <w:szCs w:val="24"/>
          <w:u w:val="single"/>
        </w:rPr>
        <w:t>асход масла при работе двигателя.</w:t>
      </w:r>
      <w:r>
        <w:rPr>
          <w:sz w:val="24"/>
          <w:szCs w:val="24"/>
        </w:rPr>
        <w:t xml:space="preserve"> </w:t>
      </w:r>
    </w:p>
    <w:p>
      <w:pPr>
        <w:pStyle w:val="Normal"/>
        <w:rPr>
          <w:b/>
          <w:b/>
          <w:sz w:val="24"/>
          <w:szCs w:val="24"/>
          <w:highlight w:val="none"/>
        </w:rPr>
      </w:pPr>
      <w:r>
        <w:rPr>
          <w:b/>
          <w:sz w:val="24"/>
          <w:szCs w:val="24"/>
        </w:rPr>
        <w:t>Трансмиссия:</w:t>
      </w:r>
      <w:r>
        <w:rPr>
          <w:sz w:val="24"/>
          <w:szCs w:val="24"/>
          <w:u w:val="single"/>
        </w:rPr>
        <w:t xml:space="preserve"> Вибрация при движении.</w:t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  <w:u w:val="single"/>
        </w:rPr>
        <w:t>Требуется частичный ремонт.</w:t>
      </w:r>
      <w:r>
        <w:rPr>
          <w:sz w:val="24"/>
          <w:szCs w:val="24"/>
          <w:u w:val="single"/>
        </w:rPr>
        <w:t xml:space="preserve"> </w:t>
      </w:r>
    </w:p>
    <w:p>
      <w:pPr>
        <w:pStyle w:val="Normal"/>
        <w:rPr>
          <w:b w:val="false"/>
          <w:b w:val="false"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Ходовая часть: </w:t>
      </w:r>
      <w:r>
        <w:rPr>
          <w:b w:val="false"/>
          <w:sz w:val="24"/>
          <w:szCs w:val="24"/>
          <w:u w:val="single"/>
        </w:rPr>
        <w:t xml:space="preserve"> Износ  протекторов шин, коррозия резьбовых соединений</w:t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  <w:u w:val="single"/>
        </w:rPr>
        <w:t>Требуется   ремонт.</w:t>
      </w:r>
    </w:p>
    <w:p>
      <w:pPr>
        <w:pStyle w:val="TextBody"/>
        <w:rPr>
          <w:b w:val="false"/>
          <w:b w:val="false"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Салон: </w:t>
      </w:r>
      <w:r>
        <w:rPr>
          <w:b w:val="false"/>
          <w:sz w:val="24"/>
          <w:szCs w:val="24"/>
          <w:u w:val="single"/>
        </w:rPr>
        <w:t>Износ обивки сидений и салона.</w:t>
      </w:r>
    </w:p>
    <w:p>
      <w:pPr>
        <w:pStyle w:val="Normal"/>
        <w:rPr>
          <w:sz w:val="24"/>
          <w:szCs w:val="24"/>
          <w:highlight w:val="none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Директор филиала 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ПАО «Газпром газораспределение Уфа» в д. Князево  _____________________/Т.Р. Кускильдин /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Начальник ТС _____________________________________________________/И.Г. Бакиров/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М.П.</w:t>
      </w:r>
    </w:p>
    <w:p>
      <w:pPr>
        <w:pStyle w:val="Normal"/>
        <w:rPr/>
      </w:pPr>
      <w:r>
        <w:rPr/>
      </w:r>
    </w:p>
    <w:p>
      <w:pPr>
        <w:pStyle w:val="Heading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Представитель организация-оценщик   _______________/ </w:t>
      </w:r>
      <w:r>
        <w:rPr>
          <w:sz w:val="24"/>
          <w:szCs w:val="24"/>
          <w:u w:val="single"/>
        </w:rPr>
        <w:t xml:space="preserve">                                                                </w:t>
      </w:r>
      <w:r>
        <w:rPr>
          <w:sz w:val="24"/>
          <w:szCs w:val="24"/>
        </w:rPr>
        <w:t>/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708" w:gutter="0" w:header="0" w:top="142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Segoe UI">
    <w:charset w:val="01"/>
    <w:family w:val="roman"/>
    <w:pitch w:val="variable"/>
  </w:font>
  <w:font w:name="Open Sans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 w:hanging="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 w:hanging="0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Lohit Devanagari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Lohit Devanagari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uiPriority w:val="9"/>
    <w:qFormat/>
    <w:pPr>
      <w:keepNext w:val="true"/>
      <w:jc w:val="center"/>
      <w:outlineLvl w:val="0"/>
    </w:pPr>
    <w:rPr>
      <w:sz w:val="24"/>
    </w:rPr>
  </w:style>
  <w:style w:type="paragraph" w:styleId="Heading2">
    <w:name w:val="Heading 2"/>
    <w:basedOn w:val="Normal"/>
    <w:uiPriority w:val="9"/>
    <w:unhideWhenUsed/>
    <w:qFormat/>
    <w:pPr>
      <w:keepNext w:val="true"/>
      <w:jc w:val="right"/>
      <w:outlineLvl w:val="1"/>
    </w:pPr>
    <w:rPr>
      <w:sz w:val="28"/>
    </w:rPr>
  </w:style>
  <w:style w:type="paragraph" w:styleId="Heading3">
    <w:name w:val="Heading 3"/>
    <w:basedOn w:val="Normal"/>
    <w:uiPriority w:val="9"/>
    <w:unhideWhenUsed/>
    <w:qFormat/>
    <w:pPr>
      <w:keepNext w:val="true"/>
      <w:outlineLvl w:val="2"/>
    </w:pPr>
    <w:rPr>
      <w:sz w:val="28"/>
    </w:rPr>
  </w:style>
  <w:style w:type="paragraph" w:styleId="Heading4">
    <w:name w:val="Heading 4"/>
    <w:basedOn w:val="Normal"/>
    <w:uiPriority w:val="9"/>
    <w:unhideWhenUsed/>
    <w:qFormat/>
    <w:pPr>
      <w:keepNext w:val="true"/>
      <w:jc w:val="right"/>
      <w:outlineLvl w:val="3"/>
    </w:pPr>
    <w:rPr>
      <w:rFonts w:ascii="Arial" w:hAnsi="Arial"/>
      <w:i/>
      <w:iCs/>
      <w:color w:val="0000FF"/>
      <w:sz w:val="28"/>
      <w:szCs w:val="14"/>
    </w:rPr>
  </w:style>
  <w:style w:type="paragraph" w:styleId="Heading5">
    <w:name w:val="Heading 5"/>
    <w:basedOn w:val="Normal"/>
    <w:uiPriority w:val="9"/>
    <w:unhideWhenUsed/>
    <w:qFormat/>
    <w:pPr>
      <w:keepNext w:val="true"/>
      <w:jc w:val="both"/>
      <w:outlineLvl w:val="4"/>
    </w:pPr>
    <w:rPr>
      <w:rFonts w:ascii="Arial" w:hAnsi="Arial"/>
      <w:sz w:val="28"/>
      <w:szCs w:val="14"/>
    </w:rPr>
  </w:style>
  <w:style w:type="paragraph" w:styleId="Heading6">
    <w:name w:val="Heading 6"/>
    <w:basedOn w:val="Normal"/>
    <w:uiPriority w:val="9"/>
    <w:unhideWhenUsed/>
    <w:qFormat/>
    <w:pPr>
      <w:keepNext w:val="true"/>
      <w:ind w:firstLine="280"/>
      <w:outlineLvl w:val="5"/>
    </w:pPr>
    <w:rPr>
      <w:rFonts w:ascii="Arial" w:hAnsi="Arial"/>
      <w:sz w:val="28"/>
      <w:szCs w:val="14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uiPriority w:val="10"/>
    <w:qFormat/>
    <w:rPr>
      <w:sz w:val="48"/>
      <w:szCs w:val="48"/>
    </w:rPr>
  </w:style>
  <w:style w:type="character" w:styleId="SubtitleChar">
    <w:name w:val="Subtitle Char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uiPriority w:val="99"/>
    <w:qFormat/>
    <w:rPr/>
  </w:style>
  <w:style w:type="character" w:styleId="FooterChar">
    <w:name w:val="Footer Char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InternetLink">
    <w:name w:val="Hyperlink"/>
    <w:uiPriority w:val="99"/>
    <w:unhideWhenUsed/>
    <w:rPr>
      <w:color w:val="0000FF" w:themeColor="hyperlink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FootnoteAnchor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EndnoteAnchor">
    <w:name w:val="Endnote Reference"/>
    <w:rPr>
      <w:vertAlign w:val="superscript"/>
    </w:rPr>
  </w:style>
  <w:style w:type="character" w:styleId="Style7">
    <w:name w:val="Основной шрифт абзаца"/>
    <w:semiHidden/>
    <w:qFormat/>
    <w:rPr/>
  </w:style>
  <w:style w:type="character" w:styleId="PageNumber">
    <w:name w:val="Page Number"/>
    <w:basedOn w:val="Style7"/>
    <w:rPr/>
  </w:style>
  <w:style w:type="character" w:styleId="Style8">
    <w:name w:val="Текст выноски Знак"/>
    <w:qFormat/>
    <w:rPr>
      <w:rFonts w:ascii="Segoe UI" w:hAnsi="Segoe UI"/>
      <w:sz w:val="18"/>
      <w:szCs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TextBody">
    <w:name w:val="Body Text"/>
    <w:basedOn w:val="Normal"/>
    <w:pPr/>
    <w:rPr>
      <w:sz w:val="28"/>
    </w:rPr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uiPriority w:val="35"/>
    <w:semiHidden/>
    <w:unhideWhenUsed/>
    <w:qFormat/>
    <w:pPr>
      <w:jc w:val="center"/>
    </w:pPr>
    <w:rPr>
      <w:b/>
      <w:sz w:val="28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Style9">
    <w:name w:val="Заголовок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Style10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 w:hanging="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ahoma" w:cs="Lohit Devanagari"/>
      <w:color w:val="auto"/>
      <w:kern w:val="0"/>
      <w:sz w:val="20"/>
      <w:szCs w:val="20"/>
      <w:lang w:val="ru-RU" w:eastAsia="zh-CN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jc w:val="center"/>
    </w:pPr>
    <w:rPr>
      <w:sz w:val="32"/>
    </w:rPr>
  </w:style>
  <w:style w:type="paragraph" w:styleId="Quote">
    <w:name w:val="Quote"/>
    <w:basedOn w:val="Normal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 w:hanging="0"/>
    </w:pPr>
    <w:rPr>
      <w:i/>
    </w:rPr>
  </w:style>
  <w:style w:type="paragraph" w:styleId="Style11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unhideWhenUsed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note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Contents1">
    <w:name w:val="TOC 1"/>
    <w:basedOn w:val="Normal"/>
    <w:uiPriority w:val="39"/>
    <w:unhideWhenUsed/>
    <w:pPr>
      <w:spacing w:before="0" w:after="57"/>
      <w:ind w:left="0" w:right="0" w:hanging="0"/>
    </w:pPr>
    <w:rPr/>
  </w:style>
  <w:style w:type="paragraph" w:styleId="Contents2">
    <w:name w:val="TOC 2"/>
    <w:basedOn w:val="Normal"/>
    <w:uiPriority w:val="39"/>
    <w:unhideWhenUsed/>
    <w:pPr>
      <w:spacing w:before="0" w:after="57"/>
      <w:ind w:left="283" w:right="0" w:hanging="0"/>
    </w:pPr>
    <w:rPr/>
  </w:style>
  <w:style w:type="paragraph" w:styleId="Contents3">
    <w:name w:val="TOC 3"/>
    <w:basedOn w:val="Normal"/>
    <w:uiPriority w:val="39"/>
    <w:unhideWhenUsed/>
    <w:pPr>
      <w:spacing w:before="0" w:after="57"/>
      <w:ind w:left="567" w:right="0" w:hanging="0"/>
    </w:pPr>
    <w:rPr/>
  </w:style>
  <w:style w:type="paragraph" w:styleId="Contents4">
    <w:name w:val="TOC 4"/>
    <w:basedOn w:val="Normal"/>
    <w:uiPriority w:val="39"/>
    <w:unhideWhenUsed/>
    <w:pPr>
      <w:spacing w:before="0" w:after="57"/>
      <w:ind w:left="850" w:right="0" w:hanging="0"/>
    </w:pPr>
    <w:rPr/>
  </w:style>
  <w:style w:type="paragraph" w:styleId="Contents5">
    <w:name w:val="TOC 5"/>
    <w:basedOn w:val="Normal"/>
    <w:uiPriority w:val="39"/>
    <w:unhideWhenUsed/>
    <w:pPr>
      <w:spacing w:before="0" w:after="57"/>
      <w:ind w:left="1134" w:right="0" w:hanging="0"/>
    </w:pPr>
    <w:rPr/>
  </w:style>
  <w:style w:type="paragraph" w:styleId="Contents6">
    <w:name w:val="TOC 6"/>
    <w:basedOn w:val="Normal"/>
    <w:uiPriority w:val="39"/>
    <w:unhideWhenUsed/>
    <w:pPr>
      <w:spacing w:before="0" w:after="57"/>
      <w:ind w:left="1417" w:right="0" w:hanging="0"/>
    </w:pPr>
    <w:rPr/>
  </w:style>
  <w:style w:type="paragraph" w:styleId="Contents7">
    <w:name w:val="TOC 7"/>
    <w:basedOn w:val="Normal"/>
    <w:uiPriority w:val="39"/>
    <w:unhideWhenUsed/>
    <w:pPr>
      <w:spacing w:before="0" w:after="57"/>
      <w:ind w:left="1701" w:right="0" w:hanging="0"/>
    </w:pPr>
    <w:rPr/>
  </w:style>
  <w:style w:type="paragraph" w:styleId="Contents8">
    <w:name w:val="TOC 8"/>
    <w:basedOn w:val="Normal"/>
    <w:uiPriority w:val="39"/>
    <w:unhideWhenUsed/>
    <w:pPr>
      <w:spacing w:before="0" w:after="57"/>
      <w:ind w:left="1984" w:right="0" w:hanging="0"/>
    </w:pPr>
    <w:rPr/>
  </w:style>
  <w:style w:type="paragraph" w:styleId="Contents9">
    <w:name w:val="TOC 9"/>
    <w:basedOn w:val="Normal"/>
    <w:uiPriority w:val="39"/>
    <w:unhideWhenUsed/>
    <w:pPr>
      <w:spacing w:before="0" w:after="57"/>
      <w:ind w:left="2268" w:right="0" w:hanging="0"/>
    </w:pPr>
    <w:rPr/>
  </w:style>
  <w:style w:type="paragraph" w:styleId="IndexHeading">
    <w:name w:val="Index Heading"/>
    <w:basedOn w:val="Style9"/>
    <w:pPr/>
    <w:rPr/>
  </w:style>
  <w:style w:type="paragraph" w:styleId="Contents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Lohit Devanagari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uiPriority w:val="99"/>
    <w:unhideWhenUsed/>
    <w:qFormat/>
    <w:pPr>
      <w:spacing w:before="0" w:afterAutospacing="0" w:after="0"/>
    </w:pPr>
    <w:rPr/>
  </w:style>
  <w:style w:type="paragraph" w:styleId="Style12">
    <w:name w:val="Схема документа"/>
    <w:basedOn w:val="Normal"/>
    <w:semiHidden/>
    <w:qFormat/>
    <w:pPr>
      <w:shd w:val="clear" w:color="auto" w:fill="000080"/>
    </w:pPr>
    <w:rPr>
      <w:rFonts w:ascii="Tahoma" w:hAnsi="Tahoma"/>
    </w:rPr>
  </w:style>
  <w:style w:type="paragraph" w:styleId="Style13">
    <w:name w:val="Абзац списка"/>
    <w:basedOn w:val="Normal"/>
    <w:qFormat/>
    <w:pPr>
      <w:spacing w:before="0" w:after="0"/>
      <w:ind w:left="720" w:hanging="0"/>
      <w:contextualSpacing/>
    </w:pPr>
    <w:rPr>
      <w:sz w:val="24"/>
      <w:szCs w:val="24"/>
    </w:rPr>
  </w:style>
  <w:style w:type="paragraph" w:styleId="Style14">
    <w:name w:val="Текст выноски"/>
    <w:basedOn w:val="Normal"/>
    <w:qFormat/>
    <w:pPr/>
    <w:rPr>
      <w:rFonts w:ascii="Segoe UI" w:hAnsi="Segoe UI"/>
      <w:sz w:val="18"/>
      <w:szCs w:val="18"/>
    </w:rPr>
  </w:style>
  <w:style w:type="paragraph" w:styleId="Style15">
    <w:name w:val="Содержимое врезки"/>
    <w:basedOn w:val="Normal"/>
    <w:qFormat/>
    <w:pPr/>
    <w:rPr/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Style16">
    <w:name w:val="Нет списка"/>
    <w:semiHidden/>
    <w:qFormat/>
  </w:style>
  <w:style w:type="numbering" w:styleId="NoList" w:default="1">
    <w:name w:val="No List"/>
    <w:uiPriority w:val="99"/>
    <w:semiHidden/>
    <w:unhideWhenUsed/>
    <w:qFormat/>
  </w:style>
  <w:style w:type="table" w:styleId="766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7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8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</w:style>
  <w:style w:type="table" w:styleId="769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</w:style>
  <w:style w:type="table" w:styleId="770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lastRow">
      <w:rPr>
        <w:b/>
        <w:caps/>
        <w:color w:val="404040"/>
      </w:rPr>
      <w:tblPr/>
    </w:tblStylePr>
  </w:style>
  <w:style w:type="table" w:styleId="771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72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73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74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75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76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77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78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79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80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81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C3FDBA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C3FDBA" w:themeFill="accent1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82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BCE7FD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BCE7FD" w:themeFill="accent2" w:themeFillTint="32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83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FDD2BA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FDD2BA" w:themeFill="accent3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84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F3BAFD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F3BAFD" w:themeFill="accent4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85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FFEFBF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FFEFBF" w:themeFill="accent5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86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7CCCC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7CCCC" w:themeFill="accent6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87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88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C3FDBA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C3FDBA" w:themeFill="accent1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89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BCE7FD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BCE7FD" w:themeFill="accent2" w:themeFillTint="32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90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FDD2BA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FDD2BA" w:themeFill="accent3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91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F3BAFD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F3BAFD" w:themeFill="accent4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92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FFEFBF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FFEFBF" w:themeFill="accent5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93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7CCCC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7CCCC" w:themeFill="accent6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94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</w:style>
  <w:style w:type="table" w:styleId="795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C5FDBC" w:themeFill="accent1" w:themeFillTint="32"/>
      </w:tcPr>
    </w:tblStylePr>
    <w:tblStylePr w:type="band1Vert">
      <w:rPr>
        <w:color w:val="404040"/>
        <w:sz w:val="22"/>
      </w:rPr>
      <w:tblPr/>
      <w:tcPr>
        <w:shd w:val="clear" w:color="FFFFFF" w:fill="C5FDBC" w:themeFill="accent1" w:themeFillTint="32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1EBE03" w:themeFill="accent1" w:themeFillTint="e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</w:style>
  <w:style w:type="table" w:styleId="796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CE7FD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BCE7FD" w:themeFill="accent2" w:themeFillTint="32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36B8FB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</w:style>
  <w:style w:type="table" w:styleId="797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D2BA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FDD2BA" w:themeFill="accent3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A43C03" w:themeFill="accent3" w:themeFillTint="fe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</w:style>
  <w:style w:type="table" w:styleId="798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3BAFD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F3BAFD" w:themeFill="accent4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DC33FA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</w:style>
  <w:style w:type="table" w:styleId="799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FEFBF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FFEFBF" w:themeFill="accent5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C99C00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</w:style>
  <w:style w:type="table" w:styleId="800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7CCCC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7CCCC" w:themeFill="accent6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C9211E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</w:style>
  <w:style w:type="table" w:styleId="801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802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79FB64" w:themeFill="accent1" w:themeFillTint="75"/>
      </w:tcPr>
    </w:tblStylePr>
    <w:tblStylePr w:type="band1Vert">
      <w:tblPr/>
      <w:tcPr>
        <w:shd w:val="clear" w:color="FFFFFF" w:fill="79FB64" w:themeFill="accent1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18A303" w:themeFill="accent1"/>
      </w:tcPr>
    </w:tblStylePr>
    <w:tblStylePr w:type="firstRow">
      <w:rPr>
        <w:b/>
        <w:color w:val="FFFFFF"/>
        <w:sz w:val="22"/>
      </w:rPr>
      <w:tblPr/>
      <w:tcPr>
        <w:shd w:val="clear" w:color="FFFFFF" w:fill="18A303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18A303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18A303" w:themeFill="accent1"/>
      </w:tcPr>
    </w:tblStylePr>
  </w:style>
  <w:style w:type="table" w:styleId="803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64C8FB" w:themeFill="accent2" w:themeFillTint="75"/>
      </w:tcPr>
    </w:tblStylePr>
    <w:tblStylePr w:type="band1Vert">
      <w:tblPr/>
      <w:tcPr>
        <w:shd w:val="clear" w:color="FFFFFF" w:fill="64C8FB" w:themeFill="accent2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0369A3" w:themeFill="accent2"/>
      </w:tcPr>
    </w:tblStylePr>
    <w:tblStylePr w:type="firstRow">
      <w:rPr>
        <w:b/>
        <w:color w:val="FFFFFF"/>
        <w:sz w:val="22"/>
      </w:rPr>
      <w:tblPr/>
      <w:tcPr>
        <w:shd w:val="clear" w:color="FFFFFF" w:fill="0369A3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0369A3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369A3" w:themeFill="accent2"/>
      </w:tcPr>
    </w:tblStylePr>
  </w:style>
  <w:style w:type="table" w:styleId="804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9964" w:themeFill="accent3" w:themeFillTint="75"/>
      </w:tcPr>
    </w:tblStylePr>
    <w:tblStylePr w:type="band1Vert">
      <w:tblPr/>
      <w:tcPr>
        <w:shd w:val="clear" w:color="FFFFFF" w:fill="FB9964" w:themeFill="accent3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A33E03" w:themeFill="accent3"/>
      </w:tcPr>
    </w:tblStylePr>
    <w:tblStylePr w:type="firstRow">
      <w:rPr>
        <w:b/>
        <w:color w:val="FFFFFF"/>
        <w:sz w:val="22"/>
      </w:rPr>
      <w:tblPr/>
      <w:tcPr>
        <w:shd w:val="clear" w:color="FFFFFF" w:fill="A33E03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A33E03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A33E03" w:themeFill="accent3"/>
      </w:tcPr>
    </w:tblStylePr>
  </w:style>
  <w:style w:type="table" w:styleId="805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464FB" w:themeFill="accent4" w:themeFillTint="75"/>
      </w:tcPr>
    </w:tblStylePr>
    <w:tblStylePr w:type="band1Vert">
      <w:tblPr/>
      <w:tcPr>
        <w:shd w:val="clear" w:color="FFFFFF" w:fill="E464FB" w:themeFill="accent4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8E03A3" w:themeFill="accent4"/>
      </w:tcPr>
    </w:tblStylePr>
    <w:tblStylePr w:type="firstRow">
      <w:rPr>
        <w:b/>
        <w:color w:val="FFFFFF"/>
        <w:sz w:val="22"/>
      </w:rPr>
      <w:tblPr/>
      <w:tcPr>
        <w:shd w:val="clear" w:color="FFFFFF" w:fill="8E03A3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E03A3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8E03A3" w:themeFill="accent4"/>
      </w:tcPr>
    </w:tblStylePr>
  </w:style>
  <w:style w:type="table" w:styleId="806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FDB71" w:themeFill="accent5" w:themeFillTint="75"/>
      </w:tcPr>
    </w:tblStylePr>
    <w:tblStylePr w:type="band1Vert">
      <w:tblPr/>
      <w:tcPr>
        <w:shd w:val="clear" w:color="FFFFFF" w:fill="FFDB71" w:themeFill="accent5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C99C00" w:themeFill="accent5"/>
      </w:tcPr>
    </w:tblStylePr>
    <w:tblStylePr w:type="firstRow">
      <w:rPr>
        <w:b/>
        <w:color w:val="FFFFFF"/>
        <w:sz w:val="22"/>
      </w:rPr>
      <w:tblPr/>
      <w:tcPr>
        <w:shd w:val="clear" w:color="FFFFFF" w:fill="C99C00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C99C00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C99C00" w:themeFill="accent5"/>
      </w:tcPr>
    </w:tblStylePr>
  </w:style>
  <w:style w:type="table" w:styleId="807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E8F8F" w:themeFill="accent6" w:themeFillTint="75"/>
      </w:tcPr>
    </w:tblStylePr>
    <w:tblStylePr w:type="band1Vert">
      <w:tblPr/>
      <w:tcPr>
        <w:shd w:val="clear" w:color="FFFFFF" w:fill="EE8F8F" w:themeFill="accent6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C9211E" w:themeFill="accent6"/>
      </w:tcPr>
    </w:tblStylePr>
    <w:tblStylePr w:type="firstRow">
      <w:rPr>
        <w:b/>
        <w:color w:val="FFFFFF"/>
        <w:sz w:val="22"/>
      </w:rPr>
      <w:tblPr/>
      <w:tcPr>
        <w:shd w:val="clear" w:color="FFFFFF" w:fill="C9211E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C9211E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C9211E" w:themeFill="accent6"/>
      </w:tcPr>
    </w:tblStylePr>
  </w:style>
  <w:style w:type="table" w:styleId="808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809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C3FDBA" w:themeFill="accent1" w:themeFillTint="34"/>
      </w:tcPr>
    </w:tblStylePr>
    <w:tblStylePr w:type="band1Vert">
      <w:tblPr/>
      <w:tcPr>
        <w:shd w:val="clear" w:color="FFFFFF" w:fill="C3FDBA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firstCol">
      <w:rPr>
        <w:b/>
        <w:color w:val="1EBF04" w:themeColor="accent1" w:themeTint="80" w:themeShade="95"/>
      </w:rPr>
      <w:tblPr/>
    </w:tblStylePr>
    <w:tblStylePr w:type="firstRow">
      <w:rPr>
        <w:b/>
        <w:color w:val="1EBF04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1EBF04" w:themeColor="accent1" w:themeTint="80" w:themeShade="95"/>
      </w:rPr>
      <w:tblPr/>
    </w:tblStylePr>
    <w:tblStylePr w:type="lastRow">
      <w:rPr>
        <w:b/>
        <w:color w:val="1EBF04" w:themeColor="accent1" w:themeTint="80" w:themeShade="95"/>
      </w:rPr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810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BCE7FD" w:themeFill="accent2" w:themeFillTint="32"/>
      </w:tcPr>
    </w:tblStylePr>
    <w:tblStylePr w:type="band1Vert">
      <w:tblPr/>
      <w:tcPr>
        <w:shd w:val="clear" w:color="FFFFFF" w:fill="BCE7FD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firstCol">
      <w:rPr>
        <w:b/>
        <w:color w:val="0378AE" w:themeColor="accent2" w:themeTint="97" w:themeShade="95"/>
      </w:rPr>
      <w:tblPr/>
    </w:tblStylePr>
    <w:tblStylePr w:type="firstRow">
      <w:rPr>
        <w:b/>
        <w:color w:val="0378AE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0378AE" w:themeColor="accent2" w:themeTint="97" w:themeShade="95"/>
      </w:rPr>
      <w:tblPr/>
    </w:tblStylePr>
    <w:tblStylePr w:type="lastRow">
      <w:rPr>
        <w:b/>
        <w:color w:val="0378AE" w:themeColor="accent2" w:themeTint="97" w:themeShade="95"/>
      </w:rPr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811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FDD2BA" w:themeFill="accent3" w:themeFillTint="34"/>
      </w:tcPr>
    </w:tblStylePr>
    <w:tblStylePr w:type="band1Vert">
      <w:tblPr/>
      <w:tcPr>
        <w:shd w:val="clear" w:color="FFFFFF" w:fill="FDD2BA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firstCol">
      <w:rPr>
        <w:b/>
        <w:color w:val="5E2201" w:themeColor="accent3" w:themeTint="fe" w:themeShade="95"/>
      </w:rPr>
      <w:tblPr/>
    </w:tblStylePr>
    <w:tblStylePr w:type="firstRow">
      <w:rPr>
        <w:b/>
        <w:color w:val="5E2201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E2201" w:themeColor="accent3" w:themeTint="fe" w:themeShade="95"/>
      </w:rPr>
      <w:tblPr/>
    </w:tblStylePr>
    <w:tblStylePr w:type="lastRow">
      <w:rPr>
        <w:b/>
        <w:color w:val="5E2201" w:themeColor="accent3" w:themeTint="fe" w:themeShade="95"/>
      </w:rPr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812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F3BAFD" w:themeFill="accent4" w:themeFillTint="34"/>
      </w:tcPr>
    </w:tblStylePr>
    <w:tblStylePr w:type="band1Vert">
      <w:tblPr/>
      <w:tcPr>
        <w:shd w:val="clear" w:color="FFFFFF" w:fill="F3BAFD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firstCol">
      <w:rPr>
        <w:b/>
        <w:color w:val="9104AB" w:themeColor="accent4" w:themeTint="9a" w:themeShade="95"/>
      </w:rPr>
      <w:tblPr/>
    </w:tblStylePr>
    <w:tblStylePr w:type="firstRow">
      <w:rPr>
        <w:b/>
        <w:color w:val="9104AB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9104AB" w:themeColor="accent4" w:themeTint="9a" w:themeShade="95"/>
      </w:rPr>
      <w:tblPr/>
    </w:tblStylePr>
    <w:tblStylePr w:type="lastRow">
      <w:rPr>
        <w:b/>
        <w:color w:val="9104AB" w:themeColor="accent4" w:themeTint="9a" w:themeShade="95"/>
      </w:rPr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813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FFEFBF" w:themeFill="accent5" w:themeFillTint="34"/>
      </w:tcPr>
    </w:tblStylePr>
    <w:tblStylePr w:type="band1Vert">
      <w:tblPr/>
      <w:tcPr>
        <w:shd w:val="clear" w:color="FFFFFF" w:fill="FFEFBF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firstCol">
      <w:rPr>
        <w:b/>
        <w:color w:val="745700" w:themeColor="accent5" w:themeShade="95"/>
      </w:rPr>
      <w:tblPr/>
    </w:tblStylePr>
    <w:tblStylePr w:type="firstRow">
      <w:rPr>
        <w:b/>
        <w:color w:val="745700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745700" w:themeColor="accent5" w:themeShade="95"/>
      </w:rPr>
      <w:tblPr/>
    </w:tblStylePr>
    <w:tblStylePr w:type="lastRow">
      <w:rPr>
        <w:b/>
        <w:color w:val="745700" w:themeColor="accent5" w:themeShade="95"/>
      </w:rPr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814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F7CCCC" w:themeFill="accent6" w:themeFillTint="34"/>
      </w:tcPr>
    </w:tblStylePr>
    <w:tblStylePr w:type="band1Vert">
      <w:tblPr/>
      <w:tcPr>
        <w:shd w:val="clear" w:color="FFFFFF" w:fill="F7CCCC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firstCol">
      <w:rPr>
        <w:b/>
        <w:color w:val="745700" w:themeColor="accent5" w:themeShade="95"/>
      </w:rPr>
      <w:tblPr/>
    </w:tblStylePr>
    <w:tblStylePr w:type="firstRow">
      <w:rPr>
        <w:b/>
        <w:color w:val="745700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745700" w:themeColor="accent5" w:themeShade="95"/>
      </w:rPr>
      <w:tblPr/>
    </w:tblStylePr>
    <w:tblStylePr w:type="lastRow">
      <w:rPr>
        <w:b/>
        <w:color w:val="745700" w:themeColor="accent5" w:themeShade="95"/>
      </w:rPr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815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16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1EBF04" w:themeColor="accent1" w:themeTint="80" w:themeShade="95"/>
        <w:sz w:val="22"/>
      </w:rPr>
      <w:tblPr/>
      <w:tcPr>
        <w:shd w:val="clear" w:color="FFFFFF" w:fill="C3FDBA" w:themeFill="accent1" w:themeFillTint="34"/>
      </w:tcPr>
    </w:tblStylePr>
    <w:tblStylePr w:type="band1Vert">
      <w:tblPr/>
      <w:tcPr>
        <w:shd w:val="clear" w:color="FFFFFF" w:fill="C3FDBA" w:themeFill="accent1" w:themeFillTint="34"/>
      </w:tcPr>
    </w:tblStylePr>
    <w:tblStylePr w:type="band2Horz">
      <w:rPr>
        <w:color w:val="1EBF04"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val="1EBF04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color="FFFFFF"/>
      </w:tcPr>
    </w:tblStylePr>
    <w:tblStylePr w:type="firstRow">
      <w:rPr>
        <w:b/>
        <w:color w:val="1EBF04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1EBF04"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1EBF04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17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0378AE" w:themeColor="accent2" w:themeTint="97" w:themeShade="95"/>
        <w:sz w:val="22"/>
      </w:rPr>
      <w:tblPr/>
      <w:tcPr>
        <w:shd w:val="clear" w:color="FFFFFF" w:fill="BCE7FD" w:themeFill="accent2" w:themeFillTint="32"/>
      </w:tcPr>
    </w:tblStylePr>
    <w:tblStylePr w:type="band1Vert">
      <w:tblPr/>
      <w:tcPr>
        <w:shd w:val="clear" w:color="FFFFFF" w:fill="BCE7FD" w:themeFill="accent2" w:themeFillTint="32"/>
      </w:tcPr>
    </w:tblStylePr>
    <w:tblStylePr w:type="band2Horz">
      <w:rPr>
        <w:color w:val="0378AE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0378AE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color="FFFFFF"/>
      </w:tcPr>
    </w:tblStylePr>
    <w:tblStylePr w:type="firstRow">
      <w:rPr>
        <w:b/>
        <w:color w:val="0378AE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0378AE"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0378AE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18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E2201" w:themeColor="accent3" w:themeTint="fe" w:themeShade="95"/>
        <w:sz w:val="22"/>
      </w:rPr>
      <w:tblPr/>
      <w:tcPr>
        <w:shd w:val="clear" w:color="FFFFFF" w:fill="FDD2BA" w:themeFill="accent3" w:themeFillTint="34"/>
      </w:tcPr>
    </w:tblStylePr>
    <w:tblStylePr w:type="band1Vert">
      <w:tblPr/>
      <w:tcPr>
        <w:shd w:val="clear" w:color="FFFFFF" w:fill="FDD2BA" w:themeFill="accent3" w:themeFillTint="34"/>
      </w:tcPr>
    </w:tblStylePr>
    <w:tblStylePr w:type="band2Horz">
      <w:rPr>
        <w:color w:val="5E2201"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val="5E2201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color="FFFFFF"/>
      </w:tcPr>
    </w:tblStylePr>
    <w:tblStylePr w:type="firstRow">
      <w:rPr>
        <w:b/>
        <w:color w:val="5E2201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5E2201"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5E2201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19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9104AB" w:themeColor="accent4" w:themeTint="9a" w:themeShade="95"/>
        <w:sz w:val="22"/>
      </w:rPr>
      <w:tblPr/>
      <w:tcPr>
        <w:shd w:val="clear" w:color="FFFFFF" w:fill="F3BAFD" w:themeFill="accent4" w:themeFillTint="34"/>
      </w:tcPr>
    </w:tblStylePr>
    <w:tblStylePr w:type="band1Vert">
      <w:tblPr/>
      <w:tcPr>
        <w:shd w:val="clear" w:color="FFFFFF" w:fill="F3BAFD" w:themeFill="accent4" w:themeFillTint="34"/>
      </w:tcPr>
    </w:tblStylePr>
    <w:tblStylePr w:type="band2Horz">
      <w:rPr>
        <w:color w:val="9104AB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9104AB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color="FFFFFF"/>
      </w:tcPr>
    </w:tblStylePr>
    <w:tblStylePr w:type="firstRow">
      <w:rPr>
        <w:b/>
        <w:color w:val="9104AB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9104AB"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9104AB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20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745700" w:themeColor="accent5" w:themeShade="95"/>
        <w:sz w:val="22"/>
      </w:rPr>
      <w:tblPr/>
      <w:tcPr>
        <w:shd w:val="clear" w:color="FFFFFF" w:fill="FFEFBF" w:themeFill="accent5" w:themeFillTint="34"/>
      </w:tcPr>
    </w:tblStylePr>
    <w:tblStylePr w:type="band1Vert">
      <w:tblPr/>
      <w:tcPr>
        <w:shd w:val="clear" w:color="FFFFFF" w:fill="FFEFBF" w:themeFill="accent5" w:themeFillTint="34"/>
      </w:tcPr>
    </w:tblStylePr>
    <w:tblStylePr w:type="band2Horz">
      <w:rPr>
        <w:color w:val="745700" w:themeColor="accent5" w:themeShade="95"/>
        <w:sz w:val="22"/>
      </w:rPr>
      <w:tblPr/>
    </w:tblStylePr>
    <w:tblStylePr w:type="firstCol">
      <w:pPr>
        <w:jc w:val="right"/>
      </w:pPr>
      <w:rPr>
        <w:i/>
        <w:color w:val="745700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color="FFFFFF"/>
      </w:tcPr>
    </w:tblStylePr>
    <w:tblStylePr w:type="firstRow">
      <w:rPr>
        <w:b/>
        <w:color w:val="745700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745700"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745700"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21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741111" w:themeColor="accent6" w:themeShade="95"/>
        <w:sz w:val="22"/>
      </w:rPr>
      <w:tblPr/>
      <w:tcPr>
        <w:shd w:val="clear" w:color="FFFFFF" w:fill="F7CCCC" w:themeFill="accent6" w:themeFillTint="34"/>
      </w:tcPr>
    </w:tblStylePr>
    <w:tblStylePr w:type="band1Vert">
      <w:tblPr/>
      <w:tcPr>
        <w:shd w:val="clear" w:color="FFFFFF" w:fill="F7CCCC" w:themeFill="accent6" w:themeFillTint="34"/>
      </w:tcPr>
    </w:tblStylePr>
    <w:tblStylePr w:type="band2Horz">
      <w:rPr>
        <w:color w:val="741111" w:themeColor="accent6" w:themeShade="95"/>
        <w:sz w:val="22"/>
      </w:rPr>
      <w:tblPr/>
    </w:tblStylePr>
    <w:tblStylePr w:type="firstCol">
      <w:pPr>
        <w:jc w:val="right"/>
      </w:pPr>
      <w:rPr>
        <w:i/>
        <w:color w:val="741111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color="FFFFFF"/>
      </w:tcPr>
    </w:tblStylePr>
    <w:tblStylePr w:type="firstRow">
      <w:rPr>
        <w:b/>
        <w:color w:val="741111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741111"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741111"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22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6FDAA" w:themeFill="accent1" w:themeFillTint="40"/>
      </w:tcPr>
    </w:tblStylePr>
    <w:tblStylePr w:type="band1Vert">
      <w:tblPr/>
      <w:tcPr>
        <w:shd w:val="clear" w:color="FFFFFF" w:fill="B6FDAA" w:themeFill="accen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AAE1FD" w:themeFill="accent2" w:themeFillTint="40"/>
      </w:tcPr>
    </w:tblStylePr>
    <w:tblStylePr w:type="band1Vert">
      <w:tblPr/>
      <w:tcPr>
        <w:shd w:val="clear" w:color="FFFFFF" w:fill="AAE1FD" w:themeFill="accent2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C7AA" w:themeFill="accent3" w:themeFillTint="40"/>
      </w:tcPr>
    </w:tblStylePr>
    <w:tblStylePr w:type="band1Vert">
      <w:tblPr/>
      <w:tcPr>
        <w:shd w:val="clear" w:color="FFFFFF" w:fill="FDC7AA" w:themeFill="accent3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0AAFD" w:themeFill="accent4" w:themeFillTint="40"/>
      </w:tcPr>
    </w:tblStylePr>
    <w:tblStylePr w:type="band1Vert">
      <w:tblPr/>
      <w:tcPr>
        <w:shd w:val="clear" w:color="FFFFFF" w:fill="F0AAFD" w:themeFill="accent4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FEBB1" w:themeFill="accent5" w:themeFillTint="40"/>
      </w:tcPr>
    </w:tblStylePr>
    <w:tblStylePr w:type="band1Vert">
      <w:tblPr/>
      <w:tcPr>
        <w:shd w:val="clear" w:color="FFFFFF" w:fill="FFEBB1" w:themeFill="accent5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5C2C2" w:themeFill="accent6" w:themeFillTint="40"/>
      </w:tcPr>
    </w:tblStylePr>
    <w:tblStylePr w:type="band1Vert">
      <w:tblPr/>
      <w:tcPr>
        <w:shd w:val="clear" w:color="FFFFFF" w:fill="F5C2C2" w:themeFill="accent6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30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6FDAA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B6FDAA" w:themeFill="accent1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831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AAE1FD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AAE1FD" w:themeFill="accent2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832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C7AA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FDC7AA" w:themeFill="accent3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833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0AAFD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F0AAFD" w:themeFill="accent4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834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FEBB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FFEBB1" w:themeFill="accent5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835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5C2C2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5C2C2" w:themeFill="accent6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836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37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18A303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38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36B8FB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39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A7A35" w:themeFill="accent3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40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DC33FA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41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FD042" w:themeFill="accent5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42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E96E6E" w:themeFill="accent6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43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44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6FDAA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B6FDAA" w:themeFill="accen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18A303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45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AAE1FD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AAE1FD" w:themeFill="accent2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369A3" w:themeFill="accent2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46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C7AA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FDC7AA" w:themeFill="accent3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A33E03" w:themeFill="accent3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47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0AAFD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F0AAFD" w:themeFill="accent4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8E03A3" w:themeFill="accent4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48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FEBB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FFEBB1" w:themeFill="accent5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99C00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49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5C2C2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5C2C2" w:themeFill="accent6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9211E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50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85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18A303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18A303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18A303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18A303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852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36B8FB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36B8FB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36B8FB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36B8FB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853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7A35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7A35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7A35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FA7A35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854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C33FA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C33FA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C33FA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DC33FA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855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042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FD042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042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FFD042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856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E96E6E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E96E6E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E96E6E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E96E6E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857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858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B6FDAA" w:themeFill="accent1" w:themeFillTint="40"/>
      </w:tcPr>
    </w:tblStylePr>
    <w:tblStylePr w:type="band1Vert">
      <w:tblPr/>
      <w:tcPr>
        <w:shd w:val="clear" w:color="FFFFFF" w:fill="B6FDAA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firstCol">
      <w:rPr>
        <w:b/>
        <w:color w:val="0E5E01" w:themeColor="accent1" w:themeShade="95"/>
      </w:rPr>
      <w:tblPr/>
    </w:tblStylePr>
    <w:tblStylePr w:type="firstRow">
      <w:rPr>
        <w:b/>
        <w:color w:val="0E5E01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E5E01" w:themeColor="accent1" w:themeShade="95"/>
      </w:rPr>
      <w:tblPr/>
    </w:tblStylePr>
    <w:tblStylePr w:type="lastRow">
      <w:rPr>
        <w:b/>
        <w:color w:val="0E5E01"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859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AAE1FD" w:themeFill="accent2" w:themeFillTint="40"/>
      </w:tcPr>
    </w:tblStylePr>
    <w:tblStylePr w:type="band1Vert">
      <w:tblPr/>
      <w:tcPr>
        <w:shd w:val="clear" w:color="FFFFFF" w:fill="AAE1FD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firstCol">
      <w:rPr>
        <w:b/>
        <w:color w:val="0378AE" w:themeColor="accent2" w:themeTint="97" w:themeShade="95"/>
      </w:rPr>
      <w:tblPr/>
    </w:tblStylePr>
    <w:tblStylePr w:type="firstRow">
      <w:rPr>
        <w:b/>
        <w:color w:val="0378AE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0378AE" w:themeColor="accent2" w:themeTint="97" w:themeShade="95"/>
      </w:rPr>
      <w:tblPr/>
    </w:tblStylePr>
    <w:tblStylePr w:type="lastRow">
      <w:rPr>
        <w:b/>
        <w:color w:val="0378AE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860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FDC7AA" w:themeFill="accent3" w:themeFillTint="40"/>
      </w:tcPr>
    </w:tblStylePr>
    <w:tblStylePr w:type="band1Vert">
      <w:tblPr/>
      <w:tcPr>
        <w:shd w:val="clear" w:color="FFFFFF" w:fill="FDC7AA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firstCol">
      <w:rPr>
        <w:b/>
        <w:color w:val="AB3B04" w:themeColor="accent3" w:themeTint="98" w:themeShade="95"/>
      </w:rPr>
      <w:tblPr/>
    </w:tblStylePr>
    <w:tblStylePr w:type="firstRow">
      <w:rPr>
        <w:b/>
        <w:color w:val="AB3B04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AB3B04" w:themeColor="accent3" w:themeTint="98" w:themeShade="95"/>
      </w:rPr>
      <w:tblPr/>
    </w:tblStylePr>
    <w:tblStylePr w:type="lastRow">
      <w:rPr>
        <w:b/>
        <w:color w:val="AB3B04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861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F0AAFD" w:themeFill="accent4" w:themeFillTint="40"/>
      </w:tcPr>
    </w:tblStylePr>
    <w:tblStylePr w:type="band1Vert">
      <w:tblPr/>
      <w:tcPr>
        <w:shd w:val="clear" w:color="FFFFFF" w:fill="F0AAFD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firstCol">
      <w:rPr>
        <w:b/>
        <w:color w:val="9104AB" w:themeColor="accent4" w:themeTint="9a" w:themeShade="95"/>
      </w:rPr>
      <w:tblPr/>
    </w:tblStylePr>
    <w:tblStylePr w:type="firstRow">
      <w:rPr>
        <w:b/>
        <w:color w:val="9104AB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9104AB" w:themeColor="accent4" w:themeTint="9a" w:themeShade="95"/>
      </w:rPr>
      <w:tblPr/>
    </w:tblStylePr>
    <w:tblStylePr w:type="lastRow">
      <w:rPr>
        <w:b/>
        <w:color w:val="9104AB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862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FFEBB1" w:themeFill="accent5" w:themeFillTint="40"/>
      </w:tcPr>
    </w:tblStylePr>
    <w:tblStylePr w:type="band1Vert">
      <w:tblPr/>
      <w:tcPr>
        <w:shd w:val="clear" w:color="FFFFFF" w:fill="FFEBB1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firstCol">
      <w:rPr>
        <w:b/>
        <w:color w:val="BA8700" w:themeColor="accent5" w:themeTint="9a" w:themeShade="95"/>
      </w:rPr>
      <w:tblPr/>
    </w:tblStylePr>
    <w:tblStylePr w:type="firstRow">
      <w:rPr>
        <w:b/>
        <w:color w:val="BA8700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BA8700" w:themeColor="accent5" w:themeTint="9a" w:themeShade="95"/>
      </w:rPr>
      <w:tblPr/>
    </w:tblStylePr>
    <w:tblStylePr w:type="lastRow">
      <w:rPr>
        <w:b/>
        <w:color w:val="BA8700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863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F5C2C2" w:themeFill="accent6" w:themeFillTint="40"/>
      </w:tcPr>
    </w:tblStylePr>
    <w:tblStylePr w:type="band1Vert">
      <w:tblPr/>
      <w:tcPr>
        <w:shd w:val="clear" w:color="FFFFFF" w:fill="F5C2C2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firstCol">
      <w:rPr>
        <w:b/>
        <w:color w:val="AD1A1A" w:themeColor="accent6" w:themeTint="98" w:themeShade="95"/>
      </w:rPr>
      <w:tblPr/>
    </w:tblStylePr>
    <w:tblStylePr w:type="firstRow">
      <w:rPr>
        <w:b/>
        <w:color w:val="AD1A1A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AD1A1A" w:themeColor="accent6" w:themeTint="98" w:themeShade="95"/>
      </w:rPr>
      <w:tblPr/>
    </w:tblStylePr>
    <w:tblStylePr w:type="lastRow">
      <w:rPr>
        <w:b/>
        <w:color w:val="AD1A1A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864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865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0E5E01" w:themeColor="accent1" w:themeShade="95"/>
        <w:sz w:val="22"/>
      </w:rPr>
      <w:tblPr/>
      <w:tcPr>
        <w:shd w:val="clear" w:color="FFFFFF" w:fill="B6FDAA" w:themeFill="accent1" w:themeFillTint="40"/>
      </w:tcPr>
    </w:tblStylePr>
    <w:tblStylePr w:type="band1Vert">
      <w:tblPr/>
      <w:tcPr>
        <w:shd w:val="clear" w:color="FFFFFF" w:fill="B6FDAA" w:themeFill="accent1" w:themeFillTint="40"/>
      </w:tcPr>
    </w:tblStylePr>
    <w:tblStylePr w:type="band2Horz">
      <w:rPr>
        <w:color w:val="0E5E01" w:themeColor="accent1" w:themeShade="95"/>
        <w:sz w:val="22"/>
      </w:rPr>
      <w:tblPr/>
    </w:tblStylePr>
    <w:tblStylePr w:type="firstCol">
      <w:pPr>
        <w:jc w:val="right"/>
      </w:pPr>
      <w:rPr>
        <w:i/>
        <w:color w:val="0E5E01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color="FFFFFF"/>
      </w:tcPr>
    </w:tblStylePr>
    <w:tblStylePr w:type="firstRow">
      <w:rPr>
        <w:i/>
        <w:color w:val="0E5E01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0E5E01"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i/>
        <w:color w:val="0E5E01"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0E5E01" w:themeColor="accent1" w:themeShade="95"/>
        <w:sz w:val="22"/>
      </w:rPr>
      <w:tblPr/>
    </w:tblStylePr>
  </w:style>
  <w:style w:type="table" w:styleId="866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0378AE" w:themeColor="accent2" w:themeTint="97" w:themeShade="95"/>
        <w:sz w:val="22"/>
      </w:rPr>
      <w:tblPr/>
      <w:tcPr>
        <w:shd w:val="clear" w:color="FFFFFF" w:fill="AAE1FD" w:themeFill="accent2" w:themeFillTint="40"/>
      </w:tcPr>
    </w:tblStylePr>
    <w:tblStylePr w:type="band1Vert">
      <w:tblPr/>
      <w:tcPr>
        <w:shd w:val="clear" w:color="FFFFFF" w:fill="AAE1FD" w:themeFill="accent2" w:themeFillTint="40"/>
      </w:tcPr>
    </w:tblStylePr>
    <w:tblStylePr w:type="band2Horz">
      <w:rPr>
        <w:color w:val="0378AE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0378AE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color="FFFFFF"/>
      </w:tcPr>
    </w:tblStylePr>
    <w:tblStylePr w:type="firstRow">
      <w:rPr>
        <w:i/>
        <w:color w:val="0378AE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0378AE"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i/>
        <w:color w:val="0378AE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0378AE" w:themeColor="accent2" w:themeTint="97" w:themeShade="95"/>
        <w:sz w:val="22"/>
      </w:rPr>
      <w:tblPr/>
    </w:tblStylePr>
  </w:style>
  <w:style w:type="table" w:styleId="867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AB3B04" w:themeColor="accent3" w:themeTint="98" w:themeShade="95"/>
        <w:sz w:val="22"/>
      </w:rPr>
      <w:tblPr/>
      <w:tcPr>
        <w:shd w:val="clear" w:color="FFFFFF" w:fill="FDC7AA" w:themeFill="accent3" w:themeFillTint="40"/>
      </w:tcPr>
    </w:tblStylePr>
    <w:tblStylePr w:type="band1Vert">
      <w:tblPr/>
      <w:tcPr>
        <w:shd w:val="clear" w:color="FFFFFF" w:fill="FDC7AA" w:themeFill="accent3" w:themeFillTint="40"/>
      </w:tcPr>
    </w:tblStylePr>
    <w:tblStylePr w:type="band2Horz">
      <w:rPr>
        <w:color w:val="AB3B04"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val="AB3B04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color="FFFFFF"/>
      </w:tcPr>
    </w:tblStylePr>
    <w:tblStylePr w:type="firstRow">
      <w:rPr>
        <w:i/>
        <w:color w:val="AB3B04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AB3B04"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i/>
        <w:color w:val="AB3B04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AB3B04" w:themeColor="accent3" w:themeTint="98" w:themeShade="95"/>
        <w:sz w:val="22"/>
      </w:rPr>
      <w:tblPr/>
    </w:tblStylePr>
  </w:style>
  <w:style w:type="table" w:styleId="868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9104AB" w:themeColor="accent4" w:themeTint="9a" w:themeShade="95"/>
        <w:sz w:val="22"/>
      </w:rPr>
      <w:tblPr/>
      <w:tcPr>
        <w:shd w:val="clear" w:color="FFFFFF" w:fill="F0AAFD" w:themeFill="accent4" w:themeFillTint="40"/>
      </w:tcPr>
    </w:tblStylePr>
    <w:tblStylePr w:type="band1Vert">
      <w:tblPr/>
      <w:tcPr>
        <w:shd w:val="clear" w:color="FFFFFF" w:fill="F0AAFD" w:themeFill="accent4" w:themeFillTint="40"/>
      </w:tcPr>
    </w:tblStylePr>
    <w:tblStylePr w:type="band2Horz">
      <w:rPr>
        <w:color w:val="9104AB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9104AB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color="FFFFFF"/>
      </w:tcPr>
    </w:tblStylePr>
    <w:tblStylePr w:type="firstRow">
      <w:rPr>
        <w:i/>
        <w:color w:val="9104AB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9104AB"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i/>
        <w:color w:val="9104AB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9104AB" w:themeColor="accent4" w:themeTint="9a" w:themeShade="95"/>
        <w:sz w:val="22"/>
      </w:rPr>
      <w:tblPr/>
    </w:tblStylePr>
  </w:style>
  <w:style w:type="table" w:styleId="869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BA8700" w:themeColor="accent5" w:themeTint="9a" w:themeShade="95"/>
        <w:sz w:val="22"/>
      </w:rPr>
      <w:tblPr/>
      <w:tcPr>
        <w:shd w:val="clear" w:color="FFFFFF" w:fill="FFEBB1" w:themeFill="accent5" w:themeFillTint="40"/>
      </w:tcPr>
    </w:tblStylePr>
    <w:tblStylePr w:type="band1Vert">
      <w:tblPr/>
      <w:tcPr>
        <w:shd w:val="clear" w:color="FFFFFF" w:fill="FFEBB1" w:themeFill="accent5" w:themeFillTint="40"/>
      </w:tcPr>
    </w:tblStylePr>
    <w:tblStylePr w:type="band2Horz">
      <w:rPr>
        <w:color w:val="BA8700"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val="BA8700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color="FFFFFF"/>
      </w:tcPr>
    </w:tblStylePr>
    <w:tblStylePr w:type="firstRow">
      <w:rPr>
        <w:i/>
        <w:color w:val="BA8700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BA8700"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i/>
        <w:color w:val="BA8700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BA8700" w:themeColor="accent5" w:themeTint="9a" w:themeShade="95"/>
        <w:sz w:val="22"/>
      </w:rPr>
      <w:tblPr/>
    </w:tblStylePr>
  </w:style>
  <w:style w:type="table" w:styleId="870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AD1A1A" w:themeColor="accent6" w:themeTint="98" w:themeShade="95"/>
        <w:sz w:val="22"/>
      </w:rPr>
      <w:tblPr/>
      <w:tcPr>
        <w:shd w:val="clear" w:color="FFFFFF" w:fill="F5C2C2" w:themeFill="accent6" w:themeFillTint="40"/>
      </w:tcPr>
    </w:tblStylePr>
    <w:tblStylePr w:type="band1Vert">
      <w:tblPr/>
      <w:tcPr>
        <w:shd w:val="clear" w:color="FFFFFF" w:fill="F5C2C2" w:themeFill="accent6" w:themeFillTint="40"/>
      </w:tcPr>
    </w:tblStylePr>
    <w:tblStylePr w:type="band2Horz">
      <w:rPr>
        <w:color w:val="AD1A1A"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val="AD1A1A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color="FFFFFF"/>
      </w:tcPr>
    </w:tblStylePr>
    <w:tblStylePr w:type="firstRow">
      <w:rPr>
        <w:i/>
        <w:color w:val="AD1A1A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AD1A1A"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i/>
        <w:color w:val="AD1A1A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AD1A1A" w:themeColor="accent6" w:themeTint="98" w:themeShade="95"/>
        <w:sz w:val="22"/>
      </w:rPr>
      <w:tblPr/>
    </w:tblStylePr>
  </w:style>
  <w:style w:type="table" w:styleId="871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</w:style>
  <w:style w:type="table" w:styleId="872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A3FC95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A3FC95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1EBE03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1EBE03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1EBE03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1EBE03" w:themeFill="accent1" w:themeFillTint="ea"/>
      </w:tcPr>
    </w:tblStylePr>
  </w:style>
  <w:style w:type="table" w:styleId="873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BCE7FD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BCE7FD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36B8FB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36B8FB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36B8FB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36B8FB" w:themeFill="accent2" w:themeFillTint="97"/>
      </w:tcPr>
    </w:tblStylePr>
  </w:style>
  <w:style w:type="table" w:styleId="874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D2BA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FDD2BA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A43C03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A43C03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43C03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43C03" w:themeFill="accent3" w:themeFillTint="fe"/>
      </w:tcPr>
    </w:tblStylePr>
  </w:style>
  <w:style w:type="table" w:styleId="875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BAFD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F3BAFD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DC33FA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DC33FA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DC33FA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DC33FA" w:themeFill="accent4" w:themeFillTint="9a"/>
      </w:tcPr>
    </w:tblStylePr>
  </w:style>
  <w:style w:type="table" w:styleId="876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FEFBF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FFEFBF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C99C00" w:themeFill="accent5"/>
      </w:tcPr>
    </w:tblStylePr>
    <w:tblStylePr w:type="firstRow">
      <w:rPr>
        <w:color w:val="F2F2F2"/>
        <w:sz w:val="22"/>
      </w:rPr>
      <w:tblPr/>
      <w:tcPr>
        <w:shd w:val="clear" w:color="FFFFFF" w:fill="C99C00" w:themeFill="accent5"/>
      </w:tcPr>
    </w:tblStylePr>
    <w:tblStylePr w:type="lastCol">
      <w:rPr>
        <w:color w:val="F2F2F2"/>
        <w:sz w:val="22"/>
      </w:rPr>
      <w:tblPr/>
      <w:tcPr>
        <w:shd w:val="clear" w:color="FFFFFF" w:fill="C99C00" w:themeFill="accent5"/>
      </w:tcPr>
    </w:tblStylePr>
    <w:tblStylePr w:type="lastRow">
      <w:rPr>
        <w:color w:val="F2F2F2"/>
        <w:sz w:val="22"/>
      </w:rPr>
      <w:tblPr/>
      <w:tcPr>
        <w:shd w:val="clear" w:color="FFFFFF" w:fill="C99C00" w:themeFill="accent5"/>
      </w:tcPr>
    </w:tblStylePr>
  </w:style>
  <w:style w:type="table" w:styleId="877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7CCCC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7CCCC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C9211E" w:themeFill="accent6"/>
      </w:tcPr>
    </w:tblStylePr>
    <w:tblStylePr w:type="firstRow">
      <w:rPr>
        <w:color w:val="F2F2F2"/>
        <w:sz w:val="22"/>
      </w:rPr>
      <w:tblPr/>
      <w:tcPr>
        <w:shd w:val="clear" w:color="FFFFFF" w:fill="C9211E" w:themeFill="accent6"/>
      </w:tcPr>
    </w:tblStylePr>
    <w:tblStylePr w:type="lastCol">
      <w:rPr>
        <w:color w:val="F2F2F2"/>
        <w:sz w:val="22"/>
      </w:rPr>
      <w:tblPr/>
      <w:tcPr>
        <w:shd w:val="clear" w:color="FFFFFF" w:fill="C9211E" w:themeFill="accent6"/>
      </w:tcPr>
    </w:tblStylePr>
    <w:tblStylePr w:type="lastRow">
      <w:rPr>
        <w:color w:val="F2F2F2"/>
        <w:sz w:val="22"/>
      </w:rPr>
      <w:tblPr/>
      <w:tcPr>
        <w:shd w:val="clear" w:color="FFFFFF" w:fill="C9211E" w:themeFill="accent6"/>
      </w:tcPr>
    </w:tblStylePr>
  </w:style>
  <w:style w:type="table" w:styleId="878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</w:style>
  <w:style w:type="table" w:styleId="879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A3FC95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A3FC95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1EBE03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1EBE03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1EBE03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1EBE03" w:themeFill="accent1" w:themeFillTint="ea"/>
      </w:tcPr>
    </w:tblStylePr>
  </w:style>
  <w:style w:type="table" w:styleId="880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BCE7FD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BCE7FD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36B8FB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36B8FB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36B8FB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36B8FB" w:themeFill="accent2" w:themeFillTint="97"/>
      </w:tcPr>
    </w:tblStylePr>
  </w:style>
  <w:style w:type="table" w:styleId="881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D2BA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FDD2BA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A43C03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A43C03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43C03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43C03" w:themeFill="accent3" w:themeFillTint="fe"/>
      </w:tcPr>
    </w:tblStylePr>
  </w:style>
  <w:style w:type="table" w:styleId="882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BAFD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F3BAFD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DC33FA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DC33FA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DC33FA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DC33FA" w:themeFill="accent4" w:themeFillTint="9a"/>
      </w:tcPr>
    </w:tblStylePr>
  </w:style>
  <w:style w:type="table" w:styleId="883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FEFBF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FFEFBF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C99C00" w:themeFill="accent5"/>
      </w:tcPr>
    </w:tblStylePr>
    <w:tblStylePr w:type="firstRow">
      <w:rPr>
        <w:color w:val="F2F2F2"/>
        <w:sz w:val="22"/>
      </w:rPr>
      <w:tblPr/>
      <w:tcPr>
        <w:shd w:val="clear" w:color="FFFFFF" w:fill="C99C00" w:themeFill="accent5"/>
      </w:tcPr>
    </w:tblStylePr>
    <w:tblStylePr w:type="lastCol">
      <w:rPr>
        <w:color w:val="F2F2F2"/>
        <w:sz w:val="22"/>
      </w:rPr>
      <w:tblPr/>
      <w:tcPr>
        <w:shd w:val="clear" w:color="FFFFFF" w:fill="C99C00" w:themeFill="accent5"/>
      </w:tcPr>
    </w:tblStylePr>
    <w:tblStylePr w:type="lastRow">
      <w:rPr>
        <w:color w:val="F2F2F2"/>
        <w:sz w:val="22"/>
      </w:rPr>
      <w:tblPr/>
      <w:tcPr>
        <w:shd w:val="clear" w:color="FFFFFF" w:fill="C99C00" w:themeFill="accent5"/>
      </w:tcPr>
    </w:tblStylePr>
  </w:style>
  <w:style w:type="table" w:styleId="884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7CCCC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7CCCC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C9211E" w:themeFill="accent6"/>
      </w:tcPr>
    </w:tblStylePr>
    <w:tblStylePr w:type="firstRow">
      <w:rPr>
        <w:color w:val="F2F2F2"/>
        <w:sz w:val="22"/>
      </w:rPr>
      <w:tblPr/>
      <w:tcPr>
        <w:shd w:val="clear" w:color="FFFFFF" w:fill="C9211E" w:themeFill="accent6"/>
      </w:tcPr>
    </w:tblStylePr>
    <w:tblStylePr w:type="lastCol">
      <w:rPr>
        <w:color w:val="F2F2F2"/>
        <w:sz w:val="22"/>
      </w:rPr>
      <w:tblPr/>
      <w:tcPr>
        <w:shd w:val="clear" w:color="FFFFFF" w:fill="C9211E" w:themeFill="accent6"/>
      </w:tcPr>
    </w:tblStylePr>
    <w:tblStylePr w:type="lastRow">
      <w:rPr>
        <w:color w:val="F2F2F2"/>
        <w:sz w:val="22"/>
      </w:rPr>
      <w:tblPr/>
      <w:tcPr>
        <w:shd w:val="clear" w:color="FFFFFF" w:fill="C9211E" w:themeFill="accent6"/>
      </w:tcPr>
    </w:tblStylePr>
  </w:style>
  <w:style w:type="table" w:styleId="885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886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887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888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889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890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891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default="1" w:styleId="892">
    <w:name w:val="Normal Table"/>
    <w:uiPriority w:val="99"/>
    <w:semiHidden/>
    <w:unhideWhenUsed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45</TotalTime>
  <Application>LibreOffice/7.4.2.3$Linux_X86_64 LibreOffice_project/40$Build-3</Application>
  <AppVersion>15.0000</AppVersion>
  <Pages>1</Pages>
  <Words>185</Words>
  <Characters>1568</Characters>
  <CharactersWithSpaces>2586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2026-04-22T10:10:29Z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