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aption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Caption"/>
        <w:rPr>
          <w:sz w:val="22"/>
          <w:szCs w:val="22"/>
        </w:rPr>
      </w:pPr>
      <w:r>
        <w:rPr>
          <w:sz w:val="22"/>
          <w:szCs w:val="22"/>
        </w:rPr>
        <w:t>АКТ</w:t>
      </w:r>
    </w:p>
    <w:p>
      <w:pPr>
        <w:pStyle w:val="Subtitle"/>
        <w:rPr>
          <w:sz w:val="24"/>
          <w:szCs w:val="24"/>
        </w:rPr>
      </w:pPr>
      <w:r>
        <w:rPr>
          <w:sz w:val="24"/>
          <w:szCs w:val="24"/>
        </w:rPr>
        <w:t xml:space="preserve">Технического осмотра транспортного средства </w:t>
      </w:r>
    </w:p>
    <w:p>
      <w:pPr>
        <w:pStyle w:val="Heading1"/>
        <w:rPr>
          <w:szCs w:val="24"/>
        </w:rPr>
      </w:pPr>
      <w:r>
        <w:rPr>
          <w:szCs w:val="24"/>
        </w:rPr>
        <w:t>Составлен «     »               2025 года</w:t>
      </w:r>
    </w:p>
    <w:p>
      <w:pPr>
        <w:pStyle w:val="Normal"/>
        <w:rPr>
          <w:sz w:val="16"/>
          <w:szCs w:val="16"/>
        </w:rPr>
      </w:pPr>
      <w:r>
        <w:rPr>
          <w:sz w:val="16"/>
          <w:szCs w:val="16"/>
        </w:rPr>
      </w:r>
    </w:p>
    <w:tbl>
      <w:tblPr>
        <w:tblW w:w="10208" w:type="dxa"/>
        <w:jc w:val="left"/>
        <w:tblInd w:w="-1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noVBand="1" w:val="04a0" w:noHBand="0" w:lastColumn="0" w:firstColumn="1" w:lastRow="0" w:firstRow="1"/>
      </w:tblPr>
      <w:tblGrid>
        <w:gridCol w:w="5104"/>
        <w:gridCol w:w="5103"/>
      </w:tblGrid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3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Марка, модель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УАЗ-390944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widowControl w:val="false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Инвентарный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i w:val="false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b/>
                <w:i w:val="false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i w:val="false"/>
                <w:color w:val="000000" w:themeColor="text1"/>
                <w:sz w:val="24"/>
                <w:szCs w:val="24"/>
              </w:rPr>
              <w:t>4606</w:t>
            </w:r>
          </w:p>
        </w:tc>
      </w:tr>
      <w:tr>
        <w:trPr>
          <w:trHeight w:val="43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5"/>
              <w:widowControl w:val="false"/>
              <w:jc w:val="left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/>
                <w:sz w:val="24"/>
                <w:szCs w:val="24"/>
              </w:rPr>
              <w:t>Регистрационный номер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В675ВР 102</w:t>
            </w:r>
          </w:p>
        </w:tc>
      </w:tr>
      <w:tr>
        <w:trPr>
          <w:trHeight w:val="30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Идентификационный номер (VIN)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b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ХТТ39094480447263</w:t>
            </w:r>
          </w:p>
        </w:tc>
      </w:tr>
      <w:tr>
        <w:trPr>
          <w:trHeight w:val="341" w:hRule="atLeast"/>
          <w:cantSplit w:val="true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Год выпуска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Модель, № двигателя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i/>
                <w:i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42130Е*80504769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Шасси, (рама)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rFonts w:eastAsia="Arial Unicode MS"/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33036080468555</w:t>
            </w:r>
          </w:p>
        </w:tc>
      </w:tr>
      <w:tr>
        <w:trPr>
          <w:trHeight w:val="25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Кузов, (прицеп) №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 w:eastAsia="Arial Unicode MS"/>
                <w:color w:val="000000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39094080107025</w:t>
            </w:r>
          </w:p>
        </w:tc>
      </w:tr>
      <w:tr>
        <w:trPr>
          <w:trHeight w:val="9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Цвет кузова (кабины)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0" w:hanging="0"/>
              <w:rPr>
                <w:rFonts w:eastAsia="Arial Unicode MS"/>
                <w:b/>
                <w:b/>
                <w:i w:val="false"/>
                <w:i w:val="false"/>
                <w:sz w:val="24"/>
                <w:szCs w:val="24"/>
              </w:rPr>
            </w:pPr>
            <w:r>
              <w:rPr>
                <w:rFonts w:eastAsia="Arial Unicode MS"/>
                <w:b/>
                <w:i w:val="false"/>
                <w:sz w:val="24"/>
                <w:szCs w:val="24"/>
              </w:rPr>
              <w:t xml:space="preserve">     </w:t>
            </w:r>
            <w:r>
              <w:rPr>
                <w:rFonts w:eastAsia="Arial Unicode MS"/>
                <w:b/>
                <w:i w:val="false"/>
                <w:sz w:val="24"/>
                <w:szCs w:val="24"/>
              </w:rPr>
              <w:t>Белая ночь</w:t>
            </w:r>
          </w:p>
        </w:tc>
      </w:tr>
      <w:tr>
        <w:trPr>
          <w:trHeight w:val="360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Arial Unicode MS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Паспорт транспортного средства (ПТС)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284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 МС 138900  от 02.06.2008 г.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 w:eastAsia="Arial Unicode MS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Свидетельство о регистрации ТС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hd w:val="clear" w:color="auto" w:fill="FFFFFF"/>
              <w:ind w:left="284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 13 № 811243 от 01.04.2014г.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Балансовая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284" w:hanging="0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269222,88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ind w:firstLine="24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Остаточная стоимость, руб.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12749,83</w:t>
            </w:r>
          </w:p>
        </w:tc>
      </w:tr>
      <w:tr>
        <w:trPr>
          <w:trHeight w:val="315" w:hRule="atLeast"/>
        </w:trPr>
        <w:tc>
          <w:tcPr>
            <w:tcW w:w="51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Heading6"/>
              <w:widowControl w:val="false"/>
              <w:numPr>
                <w:ilvl w:val="0"/>
                <w:numId w:val="0"/>
              </w:numPr>
              <w:ind w:left="0" w:hanging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</w:rPr>
              <w:t>Пробег (показания одометра) км</w:t>
            </w:r>
          </w:p>
        </w:tc>
        <w:tc>
          <w:tcPr>
            <w:tcW w:w="510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Heading4"/>
              <w:widowControl w:val="false"/>
              <w:ind w:left="284" w:hanging="0"/>
              <w:jc w:val="left"/>
              <w:rPr>
                <w:rFonts w:ascii="Times New Roman" w:hAnsi="Times New Roman"/>
                <w:b/>
                <w:b/>
                <w:i w:val="false"/>
                <w:i w:val="false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  <w:szCs w:val="24"/>
              </w:rPr>
              <w:t>350016</w:t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Принадлежность транспортного средства филиал</w:t>
      </w:r>
    </w:p>
    <w:p>
      <w:pPr>
        <w:pStyle w:val="Normal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ПАО «Газпром газораспределение Уфа» в д. Князево (Центральный филиал)              </w:t>
      </w:r>
      <w:r>
        <w:rPr>
          <w:i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Адрес владельца: </w:t>
      </w:r>
      <w:r>
        <w:rPr>
          <w:i/>
          <w:sz w:val="24"/>
          <w:szCs w:val="24"/>
        </w:rPr>
        <w:t xml:space="preserve">450069  г. Уфа, Калининский район, д. Князево, ул. Кирова д.2.   </w:t>
      </w:r>
      <w:r>
        <w:rPr>
          <w:sz w:val="24"/>
          <w:szCs w:val="24"/>
        </w:rPr>
        <w:t xml:space="preserve">                                             </w:t>
      </w:r>
      <w:r>
        <w:rPr>
          <w:i/>
          <w:sz w:val="24"/>
          <w:szCs w:val="24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В результате визуального осмотра установлено: ____________________________________</w:t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1. Заменены следующие агрегаты базовой комплектации:</w:t>
      </w:r>
    </w:p>
    <w:p>
      <w:pPr>
        <w:pStyle w:val="Normal"/>
        <w:rPr>
          <w:u w:val="single"/>
        </w:rPr>
      </w:pPr>
      <w:r>
        <w:rPr>
          <w:u w:val="single"/>
        </w:rPr>
        <w:t xml:space="preserve">                                                                                     </w:t>
      </w:r>
      <w:r>
        <w:rPr>
          <w:sz w:val="24"/>
          <w:szCs w:val="24"/>
          <w:u w:val="single"/>
        </w:rPr>
        <w:t xml:space="preserve">  </w:t>
      </w:r>
      <w:r>
        <w:rPr>
          <w:sz w:val="24"/>
          <w:szCs w:val="24"/>
          <w:u w:val="single"/>
        </w:rPr>
        <w:t xml:space="preserve">нет </w:t>
      </w:r>
      <w:r>
        <w:rPr>
          <w:u w:val="single"/>
        </w:rPr>
        <w:t xml:space="preserve">                                                                                               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  <w:u w:val="none"/>
        </w:rPr>
        <w:t xml:space="preserve">     </w:t>
      </w:r>
    </w:p>
    <w:p>
      <w:pPr>
        <w:pStyle w:val="Normal"/>
        <w:rPr>
          <w:szCs w:val="24"/>
          <w:highlight w:val="none"/>
          <w:u w:val="none"/>
        </w:rPr>
      </w:pPr>
      <w:r>
        <w:rPr>
          <w:sz w:val="24"/>
          <w:szCs w:val="24"/>
        </w:rPr>
        <w:t xml:space="preserve">2. Проведено переоборудование с заменой базовых агрегатов: </w:t>
      </w:r>
    </w:p>
    <w:p>
      <w:pPr>
        <w:pStyle w:val="Normal"/>
        <w:rPr>
          <w:sz w:val="24"/>
          <w:szCs w:val="24"/>
          <w:highlight w:val="none"/>
          <w:u w:val="none"/>
        </w:rPr>
      </w:pPr>
      <w:r>
        <w:rPr>
          <w:sz w:val="24"/>
          <w:u w:val="none"/>
        </w:rPr>
        <w:t>____________________________________</w:t>
      </w:r>
      <w:r>
        <w:rPr>
          <w:sz w:val="24"/>
          <w:u w:val="single"/>
        </w:rPr>
        <w:t xml:space="preserve">нет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3. Дополнительно установленное оборудование:</w:t>
      </w:r>
    </w:p>
    <w:p>
      <w:pPr>
        <w:pStyle w:val="Normal"/>
        <w:rPr>
          <w:u w:val="single"/>
        </w:rPr>
      </w:pPr>
      <w:r>
        <w:rPr>
          <w:u w:val="single"/>
        </w:rPr>
        <w:t xml:space="preserve">                                                                                    </w:t>
      </w:r>
      <w:r>
        <w:rPr>
          <w:sz w:val="24"/>
          <w:szCs w:val="24"/>
          <w:u w:val="single"/>
        </w:rPr>
        <w:t xml:space="preserve">   </w:t>
      </w:r>
      <w:r>
        <w:rPr>
          <w:sz w:val="24"/>
          <w:szCs w:val="24"/>
          <w:u w:val="single"/>
        </w:rPr>
        <w:t xml:space="preserve">нет </w:t>
      </w:r>
      <w:r>
        <w:rPr>
          <w:u w:val="single"/>
        </w:rPr>
        <w:t xml:space="preserve">               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/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>4. Отсутствуют следующие агрегаты базовой комплектации:</w:t>
      </w:r>
    </w:p>
    <w:p>
      <w:pPr>
        <w:pStyle w:val="Normal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                                                                       </w:t>
      </w:r>
      <w:r>
        <w:rPr>
          <w:sz w:val="24"/>
          <w:szCs w:val="24"/>
          <w:u w:val="single"/>
        </w:rPr>
        <w:t xml:space="preserve">нет                                                                               </w:t>
      </w:r>
    </w:p>
    <w:p>
      <w:pPr>
        <w:pStyle w:val="Normal"/>
        <w:rPr>
          <w:color w:val="000000" w:themeColor="text1"/>
          <w:sz w:val="24"/>
          <w:szCs w:val="24"/>
          <w:u w:val="single"/>
        </w:rPr>
      </w:pPr>
      <w:r>
        <w:rPr>
          <w:color w:val="000000" w:themeColor="text1"/>
          <w:sz w:val="24"/>
          <w:szCs w:val="24"/>
          <w:u w:val="single"/>
        </w:rPr>
        <w:t xml:space="preserve">5. Эксплуатационные дефекты: </w:t>
      </w:r>
    </w:p>
    <w:p>
      <w:pPr>
        <w:pStyle w:val="Normal"/>
        <w:rPr>
          <w:sz w:val="24"/>
          <w:szCs w:val="24"/>
          <w:highlight w:val="none"/>
          <w:u w:val="none"/>
        </w:rPr>
      </w:pPr>
      <w:r>
        <w:rPr>
          <w:b/>
          <w:sz w:val="24"/>
          <w:szCs w:val="24"/>
        </w:rPr>
        <w:t xml:space="preserve">Двигатель: </w:t>
      </w:r>
      <w:r>
        <w:rPr>
          <w:sz w:val="24"/>
          <w:szCs w:val="24"/>
          <w:u w:val="single"/>
        </w:rPr>
        <w:t>Повышенный расход масла.</w:t>
      </w:r>
    </w:p>
    <w:p>
      <w:pPr>
        <w:pStyle w:val="Normal"/>
        <w:rPr>
          <w:b/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Требуется частичный ремонт.</w:t>
      </w:r>
      <w:r>
        <w:rPr>
          <w:sz w:val="24"/>
          <w:szCs w:val="24"/>
          <w:u w:val="single"/>
        </w:rPr>
        <w:t xml:space="preserve">                             </w:t>
      </w:r>
      <w:r>
        <w:rPr>
          <w:sz w:val="24"/>
          <w:szCs w:val="24"/>
        </w:rPr>
        <w:t xml:space="preserve">    </w:t>
      </w:r>
    </w:p>
    <w:p>
      <w:pPr>
        <w:pStyle w:val="Normal"/>
        <w:rPr>
          <w:b/>
          <w:b/>
          <w:sz w:val="24"/>
          <w:szCs w:val="24"/>
          <w:highlight w:val="none"/>
        </w:rPr>
      </w:pPr>
      <w:r>
        <w:rPr>
          <w:b/>
          <w:sz w:val="24"/>
          <w:szCs w:val="24"/>
        </w:rPr>
        <w:t>Трансмиссия:</w:t>
      </w:r>
      <w:r>
        <w:rPr>
          <w:sz w:val="24"/>
          <w:szCs w:val="24"/>
          <w:u w:val="single"/>
        </w:rPr>
        <w:t xml:space="preserve"> Вибрация при движении, затрудненное переключение передач КПП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u w:val="single"/>
        </w:rPr>
        <w:t>Требуется частичный ремонт.</w:t>
      </w:r>
      <w:r>
        <w:rPr>
          <w:sz w:val="24"/>
          <w:szCs w:val="24"/>
          <w:u w:val="single"/>
        </w:rPr>
        <w:t xml:space="preserve"> </w:t>
      </w:r>
    </w:p>
    <w:p>
      <w:pPr>
        <w:pStyle w:val="Normal"/>
        <w:rPr>
          <w:b w:val="false"/>
          <w:b w:val="false"/>
          <w:sz w:val="24"/>
          <w:szCs w:val="24"/>
          <w:u w:val="single"/>
        </w:rPr>
      </w:pPr>
      <w:r>
        <w:rPr>
          <w:b/>
          <w:sz w:val="24"/>
          <w:szCs w:val="24"/>
        </w:rPr>
        <w:t>Ходовая часть:</w:t>
      </w:r>
      <w:r>
        <w:rPr>
          <w:b w:val="false"/>
          <w:sz w:val="24"/>
          <w:szCs w:val="24"/>
          <w:u w:val="single"/>
        </w:rPr>
        <w:t>Люфт в рулевом механизме, износ рессор, износ протекторов шин, коррозия резьбовых соединений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Требуется частичный  ремонт </w:t>
      </w:r>
      <w:r>
        <w:rPr>
          <w:sz w:val="24"/>
          <w:szCs w:val="24"/>
          <w:u w:val="single"/>
        </w:rPr>
        <w:t xml:space="preserve">                                                                 </w:t>
      </w:r>
    </w:p>
    <w:p>
      <w:pPr>
        <w:pStyle w:val="TextBody"/>
        <w:rPr>
          <w:b w:val="false"/>
          <w:b w:val="false"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Салон: </w:t>
      </w:r>
      <w:r>
        <w:rPr>
          <w:b w:val="false"/>
          <w:sz w:val="24"/>
          <w:szCs w:val="24"/>
          <w:u w:val="single"/>
        </w:rPr>
        <w:t>Износ обивки сидений и салона, сквозная коррозия кузова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  <w:u w:val="single"/>
        </w:rPr>
        <w:t xml:space="preserve">Требуется частичный  ремонт </w:t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  <w:highlight w:val="none"/>
        </w:rPr>
      </w:pPr>
      <w:r>
        <w:rPr>
          <w:sz w:val="24"/>
          <w:szCs w:val="24"/>
        </w:rPr>
        <w:t xml:space="preserve">Директор филиала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ПАО «Газпром газораспределение Уфа» в д. Князево  _____________________/Т.Р. Кускильдин 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Начальник ТС _____________________________________________________/И.Г. Бакиров/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М.П.</w:t>
      </w:r>
    </w:p>
    <w:p>
      <w:pPr>
        <w:pStyle w:val="Normal"/>
        <w:rPr/>
      </w:pPr>
      <w:r>
        <w:rPr/>
      </w:r>
    </w:p>
    <w:p>
      <w:pPr>
        <w:pStyle w:val="Heading2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Представитель организация-оценщик   _______________/ </w:t>
      </w:r>
      <w:r>
        <w:rPr>
          <w:sz w:val="24"/>
          <w:szCs w:val="24"/>
          <w:u w:val="single"/>
        </w:rPr>
        <w:t xml:space="preserve">                                                                </w:t>
      </w:r>
      <w:r>
        <w:rPr>
          <w:sz w:val="24"/>
          <w:szCs w:val="24"/>
        </w:rPr>
        <w:t>/</w:t>
      </w:r>
    </w:p>
    <w:sectPr>
      <w:footerReference w:type="even" r:id="rId2"/>
      <w:footerReference w:type="default" r:id="rId3"/>
      <w:footerReference w:type="first" r:id="rId4"/>
      <w:type w:val="nextPage"/>
      <w:pgSz w:w="11906" w:h="16838"/>
      <w:pgMar w:left="1134" w:right="708" w:gutter="0" w:header="0" w:top="142" w:footer="0" w:bottom="426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empora LGC Uni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egoe UI">
    <w:charset w:val="01"/>
    <w:family w:val="roman"/>
    <w:pitch w:val="variable"/>
  </w:font>
  <w:font w:name="Open Sans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oot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rIns="0" t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Врезка1" path="m0,0l-2147483645,0l-2147483645,-2147483646l0,-2147483646xe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right="360" w:hanging="0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Lohit Devanagari"/>
        <w:lang w:val="ru-RU" w:eastAsia="zh-CN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ru-RU" w:bidi="ar-SA"/>
    </w:rPr>
  </w:style>
  <w:style w:type="paragraph" w:styleId="Heading1">
    <w:name w:val="Heading 1"/>
    <w:basedOn w:val="Normal"/>
    <w:uiPriority w:val="9"/>
    <w:qFormat/>
    <w:pPr>
      <w:keepNext w:val="true"/>
      <w:jc w:val="center"/>
      <w:outlineLvl w:val="0"/>
    </w:pPr>
    <w:rPr>
      <w:sz w:val="24"/>
    </w:rPr>
  </w:style>
  <w:style w:type="paragraph" w:styleId="Heading2">
    <w:name w:val="Heading 2"/>
    <w:basedOn w:val="Normal"/>
    <w:uiPriority w:val="9"/>
    <w:unhideWhenUsed/>
    <w:qFormat/>
    <w:pPr>
      <w:keepNext w:val="true"/>
      <w:jc w:val="right"/>
      <w:outlineLvl w:val="1"/>
    </w:pPr>
    <w:rPr>
      <w:sz w:val="28"/>
    </w:rPr>
  </w:style>
  <w:style w:type="paragraph" w:styleId="Heading3">
    <w:name w:val="Heading 3"/>
    <w:basedOn w:val="Normal"/>
    <w:uiPriority w:val="9"/>
    <w:unhideWhenUsed/>
    <w:qFormat/>
    <w:pPr>
      <w:keepNext w:val="true"/>
      <w:outlineLvl w:val="2"/>
    </w:pPr>
    <w:rPr>
      <w:sz w:val="28"/>
    </w:rPr>
  </w:style>
  <w:style w:type="paragraph" w:styleId="Heading4">
    <w:name w:val="Heading 4"/>
    <w:basedOn w:val="Normal"/>
    <w:uiPriority w:val="9"/>
    <w:unhideWhenUsed/>
    <w:qFormat/>
    <w:pPr>
      <w:keepNext w:val="true"/>
      <w:jc w:val="right"/>
      <w:outlineLvl w:val="3"/>
    </w:pPr>
    <w:rPr>
      <w:rFonts w:ascii="Arial" w:hAnsi="Arial"/>
      <w:i/>
      <w:iCs/>
      <w:color w:val="0000FF"/>
      <w:sz w:val="28"/>
      <w:szCs w:val="14"/>
    </w:rPr>
  </w:style>
  <w:style w:type="paragraph" w:styleId="Heading5">
    <w:name w:val="Heading 5"/>
    <w:basedOn w:val="Normal"/>
    <w:uiPriority w:val="9"/>
    <w:unhideWhenUsed/>
    <w:qFormat/>
    <w:pPr>
      <w:keepNext w:val="true"/>
      <w:jc w:val="both"/>
      <w:outlineLvl w:val="4"/>
    </w:pPr>
    <w:rPr>
      <w:rFonts w:ascii="Arial" w:hAnsi="Arial"/>
      <w:sz w:val="28"/>
      <w:szCs w:val="14"/>
    </w:rPr>
  </w:style>
  <w:style w:type="paragraph" w:styleId="Heading6">
    <w:name w:val="Heading 6"/>
    <w:basedOn w:val="Normal"/>
    <w:uiPriority w:val="9"/>
    <w:unhideWhenUsed/>
    <w:qFormat/>
    <w:pPr>
      <w:keepNext w:val="true"/>
      <w:ind w:firstLine="280"/>
      <w:outlineLvl w:val="5"/>
    </w:pPr>
    <w:rPr>
      <w:rFonts w:ascii="Arial" w:hAnsi="Arial"/>
      <w:sz w:val="28"/>
      <w:szCs w:val="14"/>
    </w:rPr>
  </w:style>
  <w:style w:type="paragraph" w:styleId="Heading7">
    <w:name w:val="Heading 7"/>
    <w:basedOn w:val="Normal"/>
    <w:uiPriority w:val="9"/>
    <w:unhideWhenUsed/>
    <w:qFormat/>
    <w:pPr>
      <w:keepNext w:val="true"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Heading8">
    <w:name w:val="Heading 8"/>
    <w:basedOn w:val="Normal"/>
    <w:uiPriority w:val="9"/>
    <w:unhideWhenUsed/>
    <w:qFormat/>
    <w:pPr>
      <w:keepNext w:val="true"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Heading9">
    <w:name w:val="Heading 9"/>
    <w:basedOn w:val="Normal"/>
    <w:uiPriority w:val="9"/>
    <w:unhideWhenUsed/>
    <w:qFormat/>
    <w:pPr>
      <w:keepNext w:val="true"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Heading1Char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Heading2Char">
    <w:name w:val="Heading 2 Char"/>
    <w:uiPriority w:val="9"/>
    <w:qFormat/>
    <w:rPr>
      <w:rFonts w:ascii="Arial" w:hAnsi="Arial" w:eastAsia="Arial" w:cs="Arial"/>
      <w:sz w:val="34"/>
    </w:rPr>
  </w:style>
  <w:style w:type="character" w:styleId="Heading3Char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Heading4Char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>
    <w:name w:val="Title Char"/>
    <w:uiPriority w:val="10"/>
    <w:qFormat/>
    <w:rPr>
      <w:sz w:val="48"/>
      <w:szCs w:val="48"/>
    </w:rPr>
  </w:style>
  <w:style w:type="character" w:styleId="SubtitleChar">
    <w:name w:val="Subtitle Char"/>
    <w:uiPriority w:val="11"/>
    <w:qFormat/>
    <w:rPr>
      <w:sz w:val="24"/>
      <w:szCs w:val="24"/>
    </w:rPr>
  </w:style>
  <w:style w:type="character" w:styleId="QuoteChar">
    <w:name w:val="Quote Char"/>
    <w:uiPriority w:val="29"/>
    <w:qFormat/>
    <w:rPr>
      <w:i/>
    </w:rPr>
  </w:style>
  <w:style w:type="character" w:styleId="IntenseQuoteChar">
    <w:name w:val="Intense Quote Char"/>
    <w:uiPriority w:val="30"/>
    <w:qFormat/>
    <w:rPr>
      <w:i/>
    </w:rPr>
  </w:style>
  <w:style w:type="character" w:styleId="HeaderChar">
    <w:name w:val="Header Char"/>
    <w:uiPriority w:val="99"/>
    <w:qFormat/>
    <w:rPr/>
  </w:style>
  <w:style w:type="character" w:styleId="FooterChar">
    <w:name w:val="Footer Char"/>
    <w:uiPriority w:val="99"/>
    <w:qFormat/>
    <w:rPr/>
  </w:style>
  <w:style w:type="character" w:styleId="CaptionChar">
    <w:name w:val="Caption Char"/>
    <w:uiPriority w:val="99"/>
    <w:qFormat/>
    <w:rPr/>
  </w:style>
  <w:style w:type="character" w:styleId="InternetLink">
    <w:name w:val="Hyperlink"/>
    <w:uiPriority w:val="99"/>
    <w:unhideWhenUsed/>
    <w:rPr>
      <w:color w:val="0000FF" w:themeColor="hyperlink"/>
      <w:u w:val="single"/>
    </w:rPr>
  </w:style>
  <w:style w:type="character" w:styleId="FootnoteTextChar">
    <w:name w:val="Footnote Text Char"/>
    <w:uiPriority w:val="99"/>
    <w:qFormat/>
    <w:rPr>
      <w:sz w:val="18"/>
    </w:rPr>
  </w:style>
  <w:style w:type="character" w:styleId="Style5">
    <w:name w:val="Символ сноски"/>
    <w:uiPriority w:val="99"/>
    <w:unhideWhenUsed/>
    <w:qFormat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FootnoteAnchor">
    <w:name w:val="Footnote Reference"/>
    <w:rPr>
      <w:vertAlign w:val="superscript"/>
    </w:rPr>
  </w:style>
  <w:style w:type="character" w:styleId="EndnoteTextChar">
    <w:name w:val="Endnote Text Char"/>
    <w:uiPriority w:val="99"/>
    <w:qFormat/>
    <w:rPr>
      <w:sz w:val="20"/>
    </w:rPr>
  </w:style>
  <w:style w:type="character" w:styleId="Style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EndnoteCharacters">
    <w:name w:val="Endnote Characters"/>
    <w:qFormat/>
    <w:rPr>
      <w:vertAlign w:val="superscript"/>
    </w:rPr>
  </w:style>
  <w:style w:type="character" w:styleId="EndnoteAnchor">
    <w:name w:val="Endnote Reference"/>
    <w:rPr>
      <w:vertAlign w:val="superscript"/>
    </w:rPr>
  </w:style>
  <w:style w:type="character" w:styleId="Style7">
    <w:name w:val="Основной шрифт абзаца"/>
    <w:semiHidden/>
    <w:qFormat/>
    <w:rPr/>
  </w:style>
  <w:style w:type="character" w:styleId="PageNumber">
    <w:name w:val="Page Number"/>
    <w:basedOn w:val="Style7"/>
    <w:rPr/>
  </w:style>
  <w:style w:type="character" w:styleId="Style8">
    <w:name w:val="Текст выноски Знак"/>
    <w:qFormat/>
    <w:rPr>
      <w:rFonts w:ascii="Segoe UI" w:hAnsi="Segoe UI"/>
      <w:sz w:val="18"/>
      <w:szCs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TextBody">
    <w:name w:val="Body Text"/>
    <w:basedOn w:val="Normal"/>
    <w:pPr/>
    <w:rPr>
      <w:sz w:val="28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uiPriority w:val="35"/>
    <w:semiHidden/>
    <w:unhideWhenUsed/>
    <w:qFormat/>
    <w:pPr>
      <w:jc w:val="center"/>
    </w:pPr>
    <w:rPr>
      <w:b/>
      <w:sz w:val="28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tyle9">
    <w:name w:val="Заголовок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Tahoma" w:cs="Lohit Devanagari"/>
      <w:sz w:val="28"/>
      <w:szCs w:val="28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/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itle">
    <w:name w:val="Title"/>
    <w:basedOn w:val="Normal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Subtitle">
    <w:name w:val="Subtitle"/>
    <w:basedOn w:val="Normal"/>
    <w:uiPriority w:val="11"/>
    <w:qFormat/>
    <w:pPr>
      <w:jc w:val="center"/>
    </w:pPr>
    <w:rPr>
      <w:sz w:val="32"/>
    </w:rPr>
  </w:style>
  <w:style w:type="paragraph" w:styleId="Quote">
    <w:name w:val="Quote"/>
    <w:basedOn w:val="Normal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before="0" w:after="0"/>
      <w:ind w:left="720" w:right="720" w:hanging="0"/>
    </w:pPr>
    <w:rPr>
      <w:i/>
    </w:rPr>
  </w:style>
  <w:style w:type="paragraph" w:styleId="Style11">
    <w:name w:val="Колонтитул"/>
    <w:basedOn w:val="Normal"/>
    <w:qFormat/>
    <w:pPr/>
    <w:rPr/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uiPriority w:val="99"/>
    <w:unhideWhenUsed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note">
    <w:name w:val="Footnote Text"/>
    <w:basedOn w:val="Normal"/>
    <w:uiPriority w:val="99"/>
    <w:semiHidden/>
    <w:unhideWhenUsed/>
    <w:pPr>
      <w:spacing w:lineRule="auto" w:line="240" w:before="0" w:after="40"/>
    </w:pPr>
    <w:rPr>
      <w:sz w:val="18"/>
    </w:rPr>
  </w:style>
  <w:style w:type="paragraph" w:styleId="Endnote">
    <w:name w:val="Endnote Text"/>
    <w:basedOn w:val="Normal"/>
    <w:uiPriority w:val="99"/>
    <w:semiHidden/>
    <w:unhideWhenUsed/>
    <w:pPr>
      <w:spacing w:lineRule="auto" w:line="240" w:before="0" w:after="0"/>
    </w:pPr>
    <w:rPr>
      <w:sz w:val="20"/>
    </w:rPr>
  </w:style>
  <w:style w:type="paragraph" w:styleId="Contents1">
    <w:name w:val="TOC 1"/>
    <w:basedOn w:val="Normal"/>
    <w:uiPriority w:val="39"/>
    <w:unhideWhenUsed/>
    <w:pPr>
      <w:spacing w:before="0" w:after="57"/>
      <w:ind w:left="0" w:right="0" w:hanging="0"/>
    </w:pPr>
    <w:rPr/>
  </w:style>
  <w:style w:type="paragraph" w:styleId="Contents2">
    <w:name w:val="TOC 2"/>
    <w:basedOn w:val="Normal"/>
    <w:uiPriority w:val="39"/>
    <w:unhideWhenUsed/>
    <w:pPr>
      <w:spacing w:before="0" w:after="57"/>
      <w:ind w:left="283" w:right="0" w:hanging="0"/>
    </w:pPr>
    <w:rPr/>
  </w:style>
  <w:style w:type="paragraph" w:styleId="Contents3">
    <w:name w:val="TOC 3"/>
    <w:basedOn w:val="Normal"/>
    <w:uiPriority w:val="39"/>
    <w:unhideWhenUsed/>
    <w:pPr>
      <w:spacing w:before="0" w:after="57"/>
      <w:ind w:left="567" w:right="0" w:hanging="0"/>
    </w:pPr>
    <w:rPr/>
  </w:style>
  <w:style w:type="paragraph" w:styleId="Contents4">
    <w:name w:val="TOC 4"/>
    <w:basedOn w:val="Normal"/>
    <w:uiPriority w:val="39"/>
    <w:unhideWhenUsed/>
    <w:pPr>
      <w:spacing w:before="0" w:after="57"/>
      <w:ind w:left="850" w:right="0" w:hanging="0"/>
    </w:pPr>
    <w:rPr/>
  </w:style>
  <w:style w:type="paragraph" w:styleId="Contents5">
    <w:name w:val="TOC 5"/>
    <w:basedOn w:val="Normal"/>
    <w:uiPriority w:val="39"/>
    <w:unhideWhenUsed/>
    <w:pPr>
      <w:spacing w:before="0" w:after="57"/>
      <w:ind w:left="1134" w:right="0" w:hanging="0"/>
    </w:pPr>
    <w:rPr/>
  </w:style>
  <w:style w:type="paragraph" w:styleId="Contents6">
    <w:name w:val="TOC 6"/>
    <w:basedOn w:val="Normal"/>
    <w:uiPriority w:val="39"/>
    <w:unhideWhenUsed/>
    <w:pPr>
      <w:spacing w:before="0" w:after="57"/>
      <w:ind w:left="1417" w:right="0" w:hanging="0"/>
    </w:pPr>
    <w:rPr/>
  </w:style>
  <w:style w:type="paragraph" w:styleId="Contents7">
    <w:name w:val="TOC 7"/>
    <w:basedOn w:val="Normal"/>
    <w:uiPriority w:val="39"/>
    <w:unhideWhenUsed/>
    <w:pPr>
      <w:spacing w:before="0" w:after="57"/>
      <w:ind w:left="1701" w:right="0" w:hanging="0"/>
    </w:pPr>
    <w:rPr/>
  </w:style>
  <w:style w:type="paragraph" w:styleId="Contents8">
    <w:name w:val="TOC 8"/>
    <w:basedOn w:val="Normal"/>
    <w:uiPriority w:val="39"/>
    <w:unhideWhenUsed/>
    <w:pPr>
      <w:spacing w:before="0" w:after="57"/>
      <w:ind w:left="1984" w:right="0" w:hanging="0"/>
    </w:pPr>
    <w:rPr/>
  </w:style>
  <w:style w:type="paragraph" w:styleId="Contents9">
    <w:name w:val="TOC 9"/>
    <w:basedOn w:val="Normal"/>
    <w:uiPriority w:val="39"/>
    <w:unhideWhenUsed/>
    <w:pPr>
      <w:spacing w:before="0" w:after="57"/>
      <w:ind w:left="2268" w:right="0" w:hanging="0"/>
    </w:pPr>
    <w:rPr/>
  </w:style>
  <w:style w:type="paragraph" w:styleId="IndexHeading">
    <w:name w:val="Index Heading"/>
    <w:basedOn w:val="Style9"/>
    <w:pPr/>
    <w:rPr/>
  </w:style>
  <w:style w:type="paragraph" w:styleId="ContentsHeading">
    <w:name w:val="TOC Heading"/>
    <w:uiPriority w:val="39"/>
    <w:unhideWhenUsed/>
    <w:qFormat/>
    <w:pPr>
      <w:widowControl/>
      <w:bidi w:val="0"/>
      <w:spacing w:before="0" w:after="0"/>
      <w:jc w:val="left"/>
    </w:pPr>
    <w:rPr>
      <w:rFonts w:ascii="Times New Roman" w:hAnsi="Times New Roman" w:eastAsia="Tahoma" w:cs="Lohit Devanagari"/>
      <w:color w:val="auto"/>
      <w:kern w:val="0"/>
      <w:sz w:val="20"/>
      <w:szCs w:val="20"/>
      <w:lang w:val="ru-RU" w:eastAsia="zh-CN" w:bidi="ar-SA"/>
    </w:rPr>
  </w:style>
  <w:style w:type="paragraph" w:styleId="Tableoffigures">
    <w:name w:val="table of figures"/>
    <w:basedOn w:val="Normal"/>
    <w:uiPriority w:val="99"/>
    <w:unhideWhenUsed/>
    <w:qFormat/>
    <w:pPr>
      <w:spacing w:before="0" w:afterAutospacing="0" w:after="0"/>
    </w:pPr>
    <w:rPr/>
  </w:style>
  <w:style w:type="paragraph" w:styleId="Style12">
    <w:name w:val="Схема документа"/>
    <w:basedOn w:val="Normal"/>
    <w:semiHidden/>
    <w:qFormat/>
    <w:pPr>
      <w:shd w:val="clear" w:color="auto" w:fill="000080"/>
    </w:pPr>
    <w:rPr>
      <w:rFonts w:ascii="Tahoma" w:hAnsi="Tahoma"/>
    </w:rPr>
  </w:style>
  <w:style w:type="paragraph" w:styleId="Style13">
    <w:name w:val="Абзац списка"/>
    <w:basedOn w:val="Normal"/>
    <w:qFormat/>
    <w:pPr>
      <w:spacing w:before="0" w:after="0"/>
      <w:ind w:left="720" w:hanging="0"/>
      <w:contextualSpacing/>
    </w:pPr>
    <w:rPr>
      <w:sz w:val="24"/>
      <w:szCs w:val="24"/>
    </w:rPr>
  </w:style>
  <w:style w:type="paragraph" w:styleId="Style14">
    <w:name w:val="Текст выноски"/>
    <w:basedOn w:val="Normal"/>
    <w:qFormat/>
    <w:pPr/>
    <w:rPr>
      <w:rFonts w:ascii="Segoe UI" w:hAnsi="Segoe UI"/>
      <w:sz w:val="18"/>
      <w:szCs w:val="18"/>
    </w:rPr>
  </w:style>
  <w:style w:type="paragraph" w:styleId="Style15">
    <w:name w:val="Содержимое врезки"/>
    <w:basedOn w:val="Normal"/>
    <w:qFormat/>
    <w:pPr/>
    <w:rPr/>
  </w:style>
  <w:style w:type="paragraph" w:styleId="FrameContents">
    <w:name w:val="Frame Contents"/>
    <w:basedOn w:val="Normal"/>
    <w:qFormat/>
    <w:pPr/>
    <w:rPr/>
  </w:style>
  <w:style w:type="numbering" w:styleId="Style16">
    <w:name w:val="Нет списка"/>
    <w:semiHidden/>
    <w:qFormat/>
  </w:style>
  <w:style w:type="numbering" w:styleId="NoList" w:default="1">
    <w:name w:val="No List"/>
    <w:uiPriority w:val="99"/>
    <w:semiHidden/>
    <w:unhideWhenUsed/>
    <w:qFormat/>
  </w:style>
  <w:style w:type="table" w:styleId="730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1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2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33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</w:style>
  <w:style w:type="table" w:styleId="734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</w:style>
  <w:style w:type="table" w:styleId="735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36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37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38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39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40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41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42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43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744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5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6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7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8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49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0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1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2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C3FDBA" w:themeFill="accent1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3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4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5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6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7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</w:style>
  <w:style w:type="table" w:styleId="758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</w:style>
  <w:style w:type="table" w:styleId="759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5FDBC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C5FDBC" w:themeFill="accent1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1EBE03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</w:style>
  <w:style w:type="table" w:styleId="760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36B8FB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</w:style>
  <w:style w:type="table" w:styleId="761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A43C03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</w:style>
  <w:style w:type="table" w:styleId="762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DC33FA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</w:style>
  <w:style w:type="table" w:styleId="763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C99C00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</w:style>
  <w:style w:type="table" w:styleId="764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C9211E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</w:style>
  <w:style w:type="table" w:styleId="765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</w:style>
  <w:style w:type="table" w:styleId="766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79FB64" w:themeFill="accent1" w:themeFillTint="75"/>
      </w:tcPr>
    </w:tblStylePr>
    <w:tblStylePr w:type="band1Vert">
      <w:tblPr/>
      <w:tcPr>
        <w:shd w:val="clear" w:color="FFFFFF" w:fill="79FB64" w:themeFill="accent1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18A303" w:themeFill="accent1"/>
      </w:tcPr>
    </w:tblStylePr>
  </w:style>
  <w:style w:type="table" w:styleId="767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64C8FB" w:themeFill="accent2" w:themeFillTint="75"/>
      </w:tcPr>
    </w:tblStylePr>
    <w:tblStylePr w:type="band1Vert">
      <w:tblPr/>
      <w:tcPr>
        <w:shd w:val="clear" w:color="FFFFFF" w:fill="64C8FB" w:themeFill="accent2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369A3" w:themeFill="accent2"/>
      </w:tcPr>
    </w:tblStylePr>
  </w:style>
  <w:style w:type="table" w:styleId="768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9964" w:themeFill="accent3" w:themeFillTint="75"/>
      </w:tcPr>
    </w:tblStylePr>
    <w:tblStylePr w:type="band1Vert">
      <w:tblPr/>
      <w:tcPr>
        <w:shd w:val="clear" w:color="FFFFFF" w:fill="FB9964" w:themeFill="accent3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A33E03" w:themeFill="accent3"/>
      </w:tcPr>
    </w:tblStylePr>
  </w:style>
  <w:style w:type="table" w:styleId="769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464FB" w:themeFill="accent4" w:themeFillTint="75"/>
      </w:tcPr>
    </w:tblStylePr>
    <w:tblStylePr w:type="band1Vert">
      <w:tblPr/>
      <w:tcPr>
        <w:shd w:val="clear" w:color="FFFFFF" w:fill="E464FB" w:themeFill="accent4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E03A3" w:themeFill="accent4"/>
      </w:tcPr>
    </w:tblStylePr>
  </w:style>
  <w:style w:type="table" w:styleId="770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FDB71" w:themeFill="accent5" w:themeFillTint="75"/>
      </w:tcPr>
    </w:tblStylePr>
    <w:tblStylePr w:type="band1Vert">
      <w:tblPr/>
      <w:tcPr>
        <w:shd w:val="clear" w:color="FFFFFF" w:fill="FFDB71" w:themeFill="accent5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99C00" w:themeFill="accent5"/>
      </w:tcPr>
    </w:tblStylePr>
  </w:style>
  <w:style w:type="table" w:styleId="771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E8F8F" w:themeFill="accent6" w:themeFillTint="75"/>
      </w:tcPr>
    </w:tblStylePr>
    <w:tblStylePr w:type="band1Vert">
      <w:tblPr/>
      <w:tcPr>
        <w:shd w:val="clear" w:color="FFFFFF" w:fill="EE8F8F" w:themeFill="accent6" w:themeFillTint="75"/>
      </w:tcPr>
    </w:tblStylePr>
    <w:tblStylePr w:type="firstCol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9211E" w:themeFill="accent6"/>
      </w:tcPr>
    </w:tblStylePr>
  </w:style>
  <w:style w:type="table" w:styleId="772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773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C3FDBA" w:themeFill="accent1" w:themeFillTint="34"/>
      </w:tcPr>
    </w:tblStylePr>
    <w:tblStylePr w:type="band1Vert">
      <w:tblPr/>
      <w:tcPr>
        <w:shd w:val="clear" w:color="FFFFFF" w:fill="C3FDBA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firstCol">
      <w:rPr>
        <w:b/>
        <w:color w:val="1EBF04" w:themeColor="accent1" w:themeTint="80" w:themeShade="95"/>
      </w:rPr>
      <w:tblPr/>
    </w:tblStylePr>
    <w:tblStylePr w:type="firstRow">
      <w:rPr>
        <w:b/>
        <w:color w:val="1EBF04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1EBF04" w:themeColor="accent1" w:themeTint="80" w:themeShade="95"/>
      </w:rPr>
      <w:tblPr/>
    </w:tblStylePr>
    <w:tblStylePr w:type="lastRow">
      <w:rPr>
        <w:b/>
        <w:color w:val="1EBF04" w:themeColor="accent1" w:themeTint="80" w:themeShade="95"/>
      </w:rPr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774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BCE7FD" w:themeFill="accent2" w:themeFillTint="32"/>
      </w:tcPr>
    </w:tblStylePr>
    <w:tblStylePr w:type="band1Vert">
      <w:tblPr/>
      <w:tcPr>
        <w:shd w:val="clear" w:color="FFFFFF" w:fill="BCE7FD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0378AE" w:themeColor="accent2" w:themeTint="97" w:themeShade="95"/>
      </w:rPr>
      <w:tblPr/>
    </w:tblStylePr>
    <w:tblStylePr w:type="firstRow">
      <w:rPr>
        <w:b/>
        <w:color w:val="0378AE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0378AE" w:themeColor="accent2" w:themeTint="97" w:themeShade="95"/>
      </w:rPr>
      <w:tblPr/>
    </w:tblStylePr>
    <w:tblStylePr w:type="lastRow">
      <w:rPr>
        <w:b/>
        <w:color w:val="0378AE" w:themeColor="accent2" w:themeTint="97" w:themeShade="95"/>
      </w:rPr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775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FDD2BA" w:themeFill="accent3" w:themeFillTint="34"/>
      </w:tcPr>
    </w:tblStylePr>
    <w:tblStylePr w:type="band1Vert">
      <w:tblPr/>
      <w:tcPr>
        <w:shd w:val="clear" w:color="FFFFFF" w:fill="FDD2BA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firstCol">
      <w:rPr>
        <w:b/>
        <w:color w:val="5E2201" w:themeColor="accent3" w:themeTint="fe" w:themeShade="95"/>
      </w:rPr>
      <w:tblPr/>
    </w:tblStylePr>
    <w:tblStylePr w:type="firstRow">
      <w:rPr>
        <w:b/>
        <w:color w:val="5E2201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E2201" w:themeColor="accent3" w:themeTint="fe" w:themeShade="95"/>
      </w:rPr>
      <w:tblPr/>
    </w:tblStylePr>
    <w:tblStylePr w:type="lastRow">
      <w:rPr>
        <w:b/>
        <w:color w:val="5E2201" w:themeColor="accent3" w:themeTint="fe" w:themeShade="95"/>
      </w:rPr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776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3BAFD" w:themeFill="accent4" w:themeFillTint="34"/>
      </w:tcPr>
    </w:tblStylePr>
    <w:tblStylePr w:type="band1Vert">
      <w:tblPr/>
      <w:tcPr>
        <w:shd w:val="clear" w:color="FFFFFF" w:fill="F3BAFD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9104AB" w:themeColor="accent4" w:themeTint="9a" w:themeShade="95"/>
      </w:rPr>
      <w:tblPr/>
    </w:tblStylePr>
    <w:tblStylePr w:type="firstRow">
      <w:rPr>
        <w:b/>
        <w:color w:val="9104AB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9104AB" w:themeColor="accent4" w:themeTint="9a" w:themeShade="95"/>
      </w:rPr>
      <w:tblPr/>
    </w:tblStylePr>
    <w:tblStylePr w:type="lastRow">
      <w:rPr>
        <w:b/>
        <w:color w:val="9104AB" w:themeColor="accent4" w:themeTint="9a" w:themeShade="95"/>
      </w:rPr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777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FEFBF" w:themeFill="accent5" w:themeFillTint="34"/>
      </w:tcPr>
    </w:tblStylePr>
    <w:tblStylePr w:type="band1Vert">
      <w:tblPr/>
      <w:tcPr>
        <w:shd w:val="clear" w:color="FFFFFF" w:fill="FFEFBF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745700" w:themeColor="accent5" w:themeShade="95"/>
      </w:rPr>
      <w:tblPr/>
    </w:tblStylePr>
    <w:tblStylePr w:type="firstRow">
      <w:rPr>
        <w:b/>
        <w:color w:val="745700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745700" w:themeColor="accent5" w:themeShade="95"/>
      </w:rPr>
      <w:tblPr/>
    </w:tblStylePr>
    <w:tblStylePr w:type="lastRow">
      <w:rPr>
        <w:b/>
        <w:color w:val="745700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78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7CCCC" w:themeFill="accent6" w:themeFillTint="34"/>
      </w:tcPr>
    </w:tblStylePr>
    <w:tblStylePr w:type="band1Vert">
      <w:tblPr/>
      <w:tcPr>
        <w:shd w:val="clear" w:color="FFFFFF" w:fill="F7CCCC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firstCol">
      <w:rPr>
        <w:b/>
        <w:color w:val="745700" w:themeColor="accent5" w:themeShade="95"/>
      </w:rPr>
      <w:tblPr/>
    </w:tblStylePr>
    <w:tblStylePr w:type="firstRow">
      <w:rPr>
        <w:b/>
        <w:color w:val="745700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745700" w:themeColor="accent5" w:themeShade="95"/>
      </w:rPr>
      <w:tblPr/>
    </w:tblStylePr>
    <w:tblStylePr w:type="lastRow">
      <w:rPr>
        <w:b/>
        <w:color w:val="745700" w:themeColor="accent5" w:themeShade="95"/>
      </w:rPr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779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0"/>
      </w:tcPr>
    </w:tblStylePr>
    <w:tblStylePr w:type="band1Vert">
      <w:tblPr/>
      <w:tcPr>
        <w:shd w:val="clear" w:color="FFFFFF" w:fill="F2F2F2" w:themeFill="text1" w:themeFillTint="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0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1EBF04" w:themeColor="accent1" w:themeTint="80" w:themeShade="95"/>
        <w:sz w:val="22"/>
      </w:rPr>
      <w:tblPr/>
      <w:tcPr>
        <w:shd w:val="clear" w:color="FFFFFF" w:fill="C3FDBA" w:themeFill="accent1" w:themeFillTint="34"/>
      </w:tcPr>
    </w:tblStylePr>
    <w:tblStylePr w:type="band1Vert">
      <w:tblPr/>
      <w:tcPr>
        <w:shd w:val="clear" w:color="FFFFFF" w:fill="C3FDBA" w:themeFill="accent1" w:themeFillTint="34"/>
      </w:tcPr>
    </w:tblStylePr>
    <w:tblStylePr w:type="band2Horz">
      <w:rPr>
        <w:color w:val="1EBF04" w:themeColor="accent1" w:themeTint="80" w:themeShade="95"/>
        <w:sz w:val="22"/>
      </w:rPr>
      <w:tblPr/>
    </w:tblStylePr>
    <w:tblStylePr w:type="firstCol">
      <w:pPr>
        <w:jc w:val="right"/>
      </w:pPr>
      <w:rPr>
        <w:i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1EBF04" w:themeColor="accent1" w:themeTint="80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1EBF04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1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0378AE" w:themeColor="accent2" w:themeTint="97" w:themeShade="95"/>
        <w:sz w:val="22"/>
      </w:rPr>
      <w:tblPr/>
      <w:tcPr>
        <w:shd w:val="clear" w:color="FFFFFF" w:fill="BCE7FD" w:themeFill="accent2" w:themeFillTint="32"/>
      </w:tcPr>
    </w:tblStylePr>
    <w:tblStylePr w:type="band1Vert">
      <w:tblPr/>
      <w:tcPr>
        <w:shd w:val="clear" w:color="FFFFFF" w:fill="BCE7FD" w:themeFill="accent2" w:themeFillTint="32"/>
      </w:tcPr>
    </w:tblStylePr>
    <w:tblStylePr w:type="band2Horz">
      <w:rPr>
        <w:color w:val="0378AE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0378AE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2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E2201" w:themeColor="accent3" w:themeTint="fe" w:themeShade="95"/>
        <w:sz w:val="22"/>
      </w:rPr>
      <w:tblPr/>
      <w:tcPr>
        <w:shd w:val="clear" w:color="FFFFFF" w:fill="FDD2BA" w:themeFill="accent3" w:themeFillTint="34"/>
      </w:tcPr>
    </w:tblStylePr>
    <w:tblStylePr w:type="band1Vert">
      <w:tblPr/>
      <w:tcPr>
        <w:shd w:val="clear" w:color="FFFFFF" w:fill="FDD2BA" w:themeFill="accent3" w:themeFillTint="34"/>
      </w:tcPr>
    </w:tblStylePr>
    <w:tblStylePr w:type="band2Horz">
      <w:rPr>
        <w:color w:val="5E2201" w:themeColor="accent3" w:themeTint="fe" w:themeShade="95"/>
        <w:sz w:val="22"/>
      </w:rPr>
      <w:tblPr/>
    </w:tblStylePr>
    <w:tblStylePr w:type="firstCol">
      <w:pPr>
        <w:jc w:val="right"/>
      </w:pPr>
      <w:rPr>
        <w:i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5E2201" w:themeColor="accent3" w:themeTint="fe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5E2201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3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9104AB" w:themeColor="accent4" w:themeTint="9a" w:themeShade="95"/>
        <w:sz w:val="22"/>
      </w:rPr>
      <w:tblPr/>
      <w:tcPr>
        <w:shd w:val="clear" w:color="FFFFFF" w:fill="F3BAFD" w:themeFill="accent4" w:themeFillTint="34"/>
      </w:tcPr>
    </w:tblStylePr>
    <w:tblStylePr w:type="band1Vert">
      <w:tblPr/>
      <w:tcPr>
        <w:shd w:val="clear" w:color="FFFFFF" w:fill="F3BAFD" w:themeFill="accent4" w:themeFillTint="34"/>
      </w:tcPr>
    </w:tblStylePr>
    <w:tblStylePr w:type="band2Horz">
      <w:rPr>
        <w:color w:val="9104AB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9104AB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4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745700" w:themeColor="accent5" w:themeShade="95"/>
        <w:sz w:val="22"/>
      </w:rPr>
      <w:tblPr/>
      <w:tcPr>
        <w:shd w:val="clear" w:color="FFFFFF" w:fill="FFEFBF" w:themeFill="accent5" w:themeFillTint="34"/>
      </w:tcPr>
    </w:tblStylePr>
    <w:tblStylePr w:type="band1Vert">
      <w:tblPr/>
      <w:tcPr>
        <w:shd w:val="clear" w:color="FFFFFF" w:fill="FFEFBF" w:themeFill="accent5" w:themeFillTint="34"/>
      </w:tcPr>
    </w:tblStylePr>
    <w:tblStylePr w:type="band2Horz">
      <w:rPr>
        <w:color w:val="745700" w:themeColor="accent5" w:themeShade="95"/>
        <w:sz w:val="22"/>
      </w:rPr>
      <w:tblPr/>
    </w:tblStylePr>
    <w:tblStylePr w:type="firstCol">
      <w:pPr>
        <w:jc w:val="right"/>
      </w:pPr>
      <w:rPr>
        <w:i/>
        <w:color w:val="745700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745700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45700" w:themeColor="accent5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745700" w:themeColor="accent5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5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741111" w:themeColor="accent6" w:themeShade="95"/>
        <w:sz w:val="22"/>
      </w:rPr>
      <w:tblPr/>
      <w:tcPr>
        <w:shd w:val="clear" w:color="FFFFFF" w:fill="F7CCCC" w:themeFill="accent6" w:themeFillTint="34"/>
      </w:tcPr>
    </w:tblStylePr>
    <w:tblStylePr w:type="band1Vert">
      <w:tblPr/>
      <w:tcPr>
        <w:shd w:val="clear" w:color="FFFFFF" w:fill="F7CCCC" w:themeFill="accent6" w:themeFillTint="34"/>
      </w:tcPr>
    </w:tblStylePr>
    <w:tblStylePr w:type="band2Horz">
      <w:rPr>
        <w:color w:val="741111" w:themeColor="accent6" w:themeShade="95"/>
        <w:sz w:val="22"/>
      </w:rPr>
      <w:tblPr/>
    </w:tblStylePr>
    <w:tblStylePr w:type="firstCol">
      <w:pPr>
        <w:jc w:val="right"/>
      </w:pPr>
      <w:rPr>
        <w:i/>
        <w:color w:val="741111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741111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741111" w:themeColor="accent6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741111" w:themeColor="accent6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</w:style>
  <w:style w:type="table" w:styleId="786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794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795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796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797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798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799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00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1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2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3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7A35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4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5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FD042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6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E96E6E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7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8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B6FDAA" w:themeFill="accent1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18A303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09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AAE1FD" w:themeFill="accent2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369A3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10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FDC7AA" w:themeFill="accent3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A33E03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11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F0AAFD" w:themeFill="accent4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E03A3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12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FFEBB1" w:themeFill="accent5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9C00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13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5C2C2" w:themeFill="accent6" w:themeFillTint="40"/>
      </w:tcPr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9211E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</w:style>
  <w:style w:type="table" w:styleId="814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15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18A303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18A303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18A303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18A303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16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36B8FB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36B8FB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36B8FB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36B8FB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17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7A35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7A35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7A35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FA7A35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18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C33FA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C33FA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C33FA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DC33FA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19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042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FD042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FD042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FFD042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20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96E6E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E96E6E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E96E6E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E96E6E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wholeTable">
      <w:rPr>
        <w:color w:val="FFFFFF" w:themeColor="light1"/>
        <w:sz w:val="22"/>
      </w:rPr>
      <w:tblPr/>
    </w:tblStylePr>
  </w:style>
  <w:style w:type="table" w:styleId="821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</w:style>
  <w:style w:type="table" w:styleId="822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firstCol">
      <w:rPr>
        <w:b/>
        <w:color w:val="0E5E01" w:themeColor="accent1" w:themeShade="95"/>
      </w:rPr>
      <w:tblPr/>
    </w:tblStylePr>
    <w:tblStylePr w:type="firstRow">
      <w:rPr>
        <w:b/>
        <w:color w:val="0E5E01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0E5E01" w:themeColor="accent1" w:themeShade="95"/>
      </w:rPr>
      <w:tblPr/>
    </w:tblStylePr>
    <w:tblStylePr w:type="lastRow">
      <w:rPr>
        <w:b/>
        <w:color w:val="0E5E01" w:themeColor="accent1" w:themeShade="95"/>
      </w:rPr>
      <w:tblPr/>
      <w:tcPr>
        <w:tcBorders>
          <w:top w:val="single" w:color="000000" w:themeColor="accent1" w:sz="4" w:space="0"/>
        </w:tcBorders>
      </w:tcPr>
    </w:tblStylePr>
  </w:style>
  <w:style w:type="table" w:styleId="823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firstCol">
      <w:rPr>
        <w:b/>
        <w:color w:val="0378AE" w:themeColor="accent2" w:themeTint="97" w:themeShade="95"/>
      </w:rPr>
      <w:tblPr/>
    </w:tblStylePr>
    <w:tblStylePr w:type="firstRow">
      <w:rPr>
        <w:b/>
        <w:color w:val="0378AE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0378AE" w:themeColor="accent2" w:themeTint="97" w:themeShade="95"/>
      </w:rPr>
      <w:tblPr/>
    </w:tblStylePr>
    <w:tblStylePr w:type="lastRow">
      <w:rPr>
        <w:b/>
        <w:color w:val="0378AE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</w:style>
  <w:style w:type="table" w:styleId="824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firstCol">
      <w:rPr>
        <w:b/>
        <w:color w:val="AB3B04" w:themeColor="accent3" w:themeTint="98" w:themeShade="95"/>
      </w:rPr>
      <w:tblPr/>
    </w:tblStylePr>
    <w:tblStylePr w:type="firstRow">
      <w:rPr>
        <w:b/>
        <w:color w:val="AB3B04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AB3B04" w:themeColor="accent3" w:themeTint="98" w:themeShade="95"/>
      </w:rPr>
      <w:tblPr/>
    </w:tblStylePr>
    <w:tblStylePr w:type="lastRow">
      <w:rPr>
        <w:b/>
        <w:color w:val="AB3B04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</w:style>
  <w:style w:type="table" w:styleId="825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firstCol">
      <w:rPr>
        <w:b/>
        <w:color w:val="9104AB" w:themeColor="accent4" w:themeTint="9a" w:themeShade="95"/>
      </w:rPr>
      <w:tblPr/>
    </w:tblStylePr>
    <w:tblStylePr w:type="firstRow">
      <w:rPr>
        <w:b/>
        <w:color w:val="9104AB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9104AB" w:themeColor="accent4" w:themeTint="9a" w:themeShade="95"/>
      </w:rPr>
      <w:tblPr/>
    </w:tblStylePr>
    <w:tblStylePr w:type="lastRow">
      <w:rPr>
        <w:b/>
        <w:color w:val="9104AB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</w:style>
  <w:style w:type="table" w:styleId="826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firstCol">
      <w:rPr>
        <w:b/>
        <w:color w:val="BA8700" w:themeColor="accent5" w:themeTint="9a" w:themeShade="95"/>
      </w:rPr>
      <w:tblPr/>
    </w:tblStylePr>
    <w:tblStylePr w:type="firstRow">
      <w:rPr>
        <w:b/>
        <w:color w:val="BA8700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BA8700" w:themeColor="accent5" w:themeTint="9a" w:themeShade="95"/>
      </w:rPr>
      <w:tblPr/>
    </w:tblStylePr>
    <w:tblStylePr w:type="lastRow">
      <w:rPr>
        <w:b/>
        <w:color w:val="BA8700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</w:style>
  <w:style w:type="table" w:styleId="827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firstCol">
      <w:rPr>
        <w:b/>
        <w:color w:val="AD1A1A" w:themeColor="accent6" w:themeTint="98" w:themeShade="95"/>
      </w:rPr>
      <w:tblPr/>
    </w:tblStylePr>
    <w:tblStylePr w:type="firstRow">
      <w:rPr>
        <w:b/>
        <w:color w:val="AD1A1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AD1A1A" w:themeColor="accent6" w:themeTint="98" w:themeShade="95"/>
      </w:rPr>
      <w:tblPr/>
    </w:tblStylePr>
    <w:tblStylePr w:type="lastRow">
      <w:rPr>
        <w:b/>
        <w:color w:val="AD1A1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</w:style>
  <w:style w:type="table" w:styleId="828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829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0E5E01" w:themeColor="accent1" w:themeShade="95"/>
        <w:sz w:val="22"/>
      </w:rPr>
      <w:tblPr/>
      <w:tcPr>
        <w:shd w:val="clear" w:color="FFFFFF" w:fill="B6FDAA" w:themeFill="accent1" w:themeFillTint="40"/>
      </w:tcPr>
    </w:tblStylePr>
    <w:tblStylePr w:type="band1Vert">
      <w:tblPr/>
      <w:tcPr>
        <w:shd w:val="clear" w:color="FFFFFF" w:fill="B6FDAA" w:themeFill="accent1" w:themeFillTint="40"/>
      </w:tcPr>
    </w:tblStylePr>
    <w:tblStylePr w:type="band2Horz">
      <w:rPr>
        <w:color w:val="0E5E01" w:themeColor="accent1" w:themeShade="95"/>
        <w:sz w:val="22"/>
      </w:rPr>
      <w:tblPr/>
    </w:tblStylePr>
    <w:tblStylePr w:type="firstCol">
      <w:pPr>
        <w:jc w:val="right"/>
      </w:pPr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E5E01" w:themeColor="accent1" w:themeShade="95"/>
        <w:sz w:val="22"/>
      </w:rPr>
      <w:tblPr/>
      <w:tcPr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0E5E01" w:themeColor="accent1" w:themeShade="95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0E5E01" w:themeColor="accent1" w:themeShade="95"/>
        <w:sz w:val="22"/>
      </w:rPr>
      <w:tblPr/>
    </w:tblStylePr>
  </w:style>
  <w:style w:type="table" w:styleId="830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0378AE" w:themeColor="accent2" w:themeTint="97" w:themeShade="95"/>
        <w:sz w:val="22"/>
      </w:rPr>
      <w:tblPr/>
      <w:tcPr>
        <w:shd w:val="clear" w:color="FFFFFF" w:fill="AAE1FD" w:themeFill="accent2" w:themeFillTint="40"/>
      </w:tcPr>
    </w:tblStylePr>
    <w:tblStylePr w:type="band1Vert">
      <w:tblPr/>
      <w:tcPr>
        <w:shd w:val="clear" w:color="FFFFFF" w:fill="AAE1FD" w:themeFill="accent2" w:themeFillTint="40"/>
      </w:tcPr>
    </w:tblStylePr>
    <w:tblStylePr w:type="band2Horz">
      <w:rPr>
        <w:color w:val="0378AE" w:themeColor="accent2" w:themeTint="97" w:themeShade="95"/>
        <w:sz w:val="22"/>
      </w:rPr>
      <w:tblPr/>
    </w:tblStylePr>
    <w:tblStylePr w:type="firstCol">
      <w:pPr>
        <w:jc w:val="right"/>
      </w:pPr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0378AE" w:themeColor="accent2" w:themeTint="97" w:themeShade="95"/>
        <w:sz w:val="22"/>
      </w:rPr>
      <w:tblPr/>
      <w:tcPr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0378AE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0378AE" w:themeColor="accent2" w:themeTint="97" w:themeShade="95"/>
        <w:sz w:val="22"/>
      </w:rPr>
      <w:tblPr/>
    </w:tblStylePr>
  </w:style>
  <w:style w:type="table" w:styleId="831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AB3B04" w:themeColor="accent3" w:themeTint="98" w:themeShade="95"/>
        <w:sz w:val="22"/>
      </w:rPr>
      <w:tblPr/>
      <w:tcPr>
        <w:shd w:val="clear" w:color="FFFFFF" w:fill="FDC7AA" w:themeFill="accent3" w:themeFillTint="40"/>
      </w:tcPr>
    </w:tblStylePr>
    <w:tblStylePr w:type="band1Vert">
      <w:tblPr/>
      <w:tcPr>
        <w:shd w:val="clear" w:color="FFFFFF" w:fill="FDC7AA" w:themeFill="accent3" w:themeFillTint="40"/>
      </w:tcPr>
    </w:tblStylePr>
    <w:tblStylePr w:type="band2Horz">
      <w:rPr>
        <w:color w:val="AB3B04" w:themeColor="accent3" w:themeTint="98" w:themeShade="95"/>
        <w:sz w:val="22"/>
      </w:rPr>
      <w:tblPr/>
    </w:tblStylePr>
    <w:tblStylePr w:type="firstCol">
      <w:pPr>
        <w:jc w:val="right"/>
      </w:pPr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B3B04" w:themeColor="accent3" w:themeTint="98" w:themeShade="95"/>
        <w:sz w:val="22"/>
      </w:rPr>
      <w:tblPr/>
      <w:tcPr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AB3B04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AB3B04" w:themeColor="accent3" w:themeTint="98" w:themeShade="95"/>
        <w:sz w:val="22"/>
      </w:rPr>
      <w:tblPr/>
    </w:tblStylePr>
  </w:style>
  <w:style w:type="table" w:styleId="832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9104AB" w:themeColor="accent4" w:themeTint="9a" w:themeShade="95"/>
        <w:sz w:val="22"/>
      </w:rPr>
      <w:tblPr/>
      <w:tcPr>
        <w:shd w:val="clear" w:color="FFFFFF" w:fill="F0AAFD" w:themeFill="accent4" w:themeFillTint="40"/>
      </w:tcPr>
    </w:tblStylePr>
    <w:tblStylePr w:type="band1Vert">
      <w:tblPr/>
      <w:tcPr>
        <w:shd w:val="clear" w:color="FFFFFF" w:fill="F0AAFD" w:themeFill="accent4" w:themeFillTint="40"/>
      </w:tcPr>
    </w:tblStylePr>
    <w:tblStylePr w:type="band2Horz">
      <w:rPr>
        <w:color w:val="9104AB" w:themeColor="accent4" w:themeTint="9a" w:themeShade="95"/>
        <w:sz w:val="22"/>
      </w:rPr>
      <w:tblPr/>
    </w:tblStylePr>
    <w:tblStylePr w:type="firstCol">
      <w:pPr>
        <w:jc w:val="right"/>
      </w:pPr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9104AB" w:themeColor="accent4" w:themeTint="9a" w:themeShade="95"/>
        <w:sz w:val="22"/>
      </w:rPr>
      <w:tblPr/>
      <w:tcPr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9104AB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9104AB" w:themeColor="accent4" w:themeTint="9a" w:themeShade="95"/>
        <w:sz w:val="22"/>
      </w:rPr>
      <w:tblPr/>
    </w:tblStylePr>
  </w:style>
  <w:style w:type="table" w:styleId="833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BA8700" w:themeColor="accent5" w:themeTint="9a" w:themeShade="95"/>
        <w:sz w:val="22"/>
      </w:rPr>
      <w:tblPr/>
      <w:tcPr>
        <w:shd w:val="clear" w:color="FFFFFF" w:fill="FFEBB1" w:themeFill="accent5" w:themeFillTint="40"/>
      </w:tcPr>
    </w:tblStylePr>
    <w:tblStylePr w:type="band1Vert">
      <w:tblPr/>
      <w:tcPr>
        <w:shd w:val="clear" w:color="FFFFFF" w:fill="FFEBB1" w:themeFill="accent5" w:themeFillTint="40"/>
      </w:tcPr>
    </w:tblStylePr>
    <w:tblStylePr w:type="band2Horz">
      <w:rPr>
        <w:color w:val="BA8700" w:themeColor="accent5" w:themeTint="9a" w:themeShade="95"/>
        <w:sz w:val="22"/>
      </w:rPr>
      <w:tblPr/>
    </w:tblStylePr>
    <w:tblStylePr w:type="firstCol">
      <w:pPr>
        <w:jc w:val="right"/>
      </w:pPr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BA8700" w:themeColor="accent5" w:themeTint="9a" w:themeShade="95"/>
        <w:sz w:val="22"/>
      </w:rPr>
      <w:tblPr/>
      <w:tcPr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BA8700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BA8700" w:themeColor="accent5" w:themeTint="9a" w:themeShade="95"/>
        <w:sz w:val="22"/>
      </w:rPr>
      <w:tblPr/>
    </w:tblStylePr>
  </w:style>
  <w:style w:type="table" w:styleId="834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AD1A1A" w:themeColor="accent6" w:themeTint="98" w:themeShade="95"/>
        <w:sz w:val="22"/>
      </w:rPr>
      <w:tblPr/>
      <w:tcPr>
        <w:shd w:val="clear" w:color="FFFFFF" w:fill="F5C2C2" w:themeFill="accent6" w:themeFillTint="40"/>
      </w:tcPr>
    </w:tblStylePr>
    <w:tblStylePr w:type="band1Vert">
      <w:tblPr/>
      <w:tcPr>
        <w:shd w:val="clear" w:color="FFFFFF" w:fill="F5C2C2" w:themeFill="accent6" w:themeFillTint="40"/>
      </w:tcPr>
    </w:tblStylePr>
    <w:tblStylePr w:type="band2Horz">
      <w:rPr>
        <w:color w:val="AD1A1A" w:themeColor="accent6" w:themeTint="98" w:themeShade="95"/>
        <w:sz w:val="22"/>
      </w:rPr>
      <w:tblPr/>
    </w:tblStylePr>
    <w:tblStylePr w:type="firstCol">
      <w:pPr>
        <w:jc w:val="right"/>
      </w:pPr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Col">
      <w:rPr>
        <w:i/>
        <w:color w:val="AD1A1A" w:themeColor="accent6" w:themeTint="98" w:themeShade="95"/>
        <w:sz w:val="22"/>
      </w:rPr>
      <w:tblPr/>
      <w:tcPr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i/>
        <w:color w:val="AD1A1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wholeTable">
      <w:rPr>
        <w:color w:val="AD1A1A" w:themeColor="accent6" w:themeTint="98" w:themeShade="95"/>
        <w:sz w:val="22"/>
      </w:rPr>
      <w:tblPr/>
    </w:tblStylePr>
  </w:style>
  <w:style w:type="table" w:styleId="835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836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EBE03" w:themeFill="accent1" w:themeFillTint="ea"/>
      </w:tcPr>
    </w:tblStylePr>
  </w:style>
  <w:style w:type="table" w:styleId="837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36B8FB" w:themeFill="accent2" w:themeFillTint="97"/>
      </w:tcPr>
    </w:tblStylePr>
  </w:style>
  <w:style w:type="table" w:styleId="838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43C03" w:themeFill="accent3" w:themeFillTint="fe"/>
      </w:tcPr>
    </w:tblStylePr>
  </w:style>
  <w:style w:type="table" w:styleId="839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DC33FA" w:themeFill="accent4" w:themeFillTint="9a"/>
      </w:tcPr>
    </w:tblStylePr>
  </w:style>
  <w:style w:type="table" w:styleId="840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C99C00" w:themeFill="accent5"/>
      </w:tcPr>
    </w:tblStylePr>
    <w:tblStylePr w:type="firstRow">
      <w:rPr>
        <w:color w:val="F2F2F2"/>
        <w:sz w:val="22"/>
      </w:rPr>
      <w:tblPr/>
      <w:tcPr>
        <w:shd w:val="clear" w:color="FFFFFF" w:fill="C99C00" w:themeFill="accent5"/>
      </w:tcPr>
    </w:tblStylePr>
    <w:tblStylePr w:type="lastCol">
      <w:rPr>
        <w:color w:val="F2F2F2"/>
        <w:sz w:val="22"/>
      </w:rPr>
      <w:tblPr/>
      <w:tcPr>
        <w:shd w:val="clear" w:color="FFFFFF" w:fill="C99C00" w:themeFill="accent5"/>
      </w:tcPr>
    </w:tblStylePr>
    <w:tblStylePr w:type="lastRow">
      <w:rPr>
        <w:color w:val="F2F2F2"/>
        <w:sz w:val="22"/>
      </w:rPr>
      <w:tblPr/>
      <w:tcPr>
        <w:shd w:val="clear" w:color="FFFFFF" w:fill="C99C00" w:themeFill="accent5"/>
      </w:tcPr>
    </w:tblStylePr>
  </w:style>
  <w:style w:type="table" w:styleId="841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C9211E" w:themeFill="accent6"/>
      </w:tcPr>
    </w:tblStylePr>
    <w:tblStylePr w:type="firstRow">
      <w:rPr>
        <w:color w:val="F2F2F2"/>
        <w:sz w:val="22"/>
      </w:rPr>
      <w:tblPr/>
      <w:tcPr>
        <w:shd w:val="clear" w:color="FFFFFF" w:fill="C9211E" w:themeFill="accent6"/>
      </w:tcPr>
    </w:tblStylePr>
    <w:tblStylePr w:type="lastCol">
      <w:rPr>
        <w:color w:val="F2F2F2"/>
        <w:sz w:val="22"/>
      </w:rPr>
      <w:tblPr/>
      <w:tcPr>
        <w:shd w:val="clear" w:color="FFFFFF" w:fill="C9211E" w:themeFill="accent6"/>
      </w:tcPr>
    </w:tblStylePr>
    <w:tblStylePr w:type="lastRow">
      <w:rPr>
        <w:color w:val="F2F2F2"/>
        <w:sz w:val="22"/>
      </w:rPr>
      <w:tblPr/>
      <w:tcPr>
        <w:shd w:val="clear" w:color="FFFFFF" w:fill="C9211E" w:themeFill="accent6"/>
      </w:tcPr>
    </w:tblStylePr>
  </w:style>
  <w:style w:type="table" w:styleId="842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0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</w:style>
  <w:style w:type="table" w:styleId="843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A3FC95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1EBE03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1EBE03" w:themeFill="accent1" w:themeFillTint="ea"/>
      </w:tcPr>
    </w:tblStylePr>
  </w:style>
  <w:style w:type="table" w:styleId="844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BCE7FD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36B8FB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36B8FB" w:themeFill="accent2" w:themeFillTint="97"/>
      </w:tcPr>
    </w:tblStylePr>
  </w:style>
  <w:style w:type="table" w:styleId="845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FDD2BA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A43C03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A43C03" w:themeFill="accent3" w:themeFillTint="fe"/>
      </w:tcPr>
    </w:tblStylePr>
  </w:style>
  <w:style w:type="table" w:styleId="846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F3BAFD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DC33FA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DC33FA" w:themeFill="accent4" w:themeFillTint="9a"/>
      </w:tcPr>
    </w:tblStylePr>
  </w:style>
  <w:style w:type="table" w:styleId="847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FFEFBF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C99C00" w:themeFill="accent5"/>
      </w:tcPr>
    </w:tblStylePr>
    <w:tblStylePr w:type="firstRow">
      <w:rPr>
        <w:color w:val="F2F2F2"/>
        <w:sz w:val="22"/>
      </w:rPr>
      <w:tblPr/>
      <w:tcPr>
        <w:shd w:val="clear" w:color="FFFFFF" w:fill="C99C00" w:themeFill="accent5"/>
      </w:tcPr>
    </w:tblStylePr>
    <w:tblStylePr w:type="lastCol">
      <w:rPr>
        <w:color w:val="F2F2F2"/>
        <w:sz w:val="22"/>
      </w:rPr>
      <w:tblPr/>
      <w:tcPr>
        <w:shd w:val="clear" w:color="FFFFFF" w:fill="C99C00" w:themeFill="accent5"/>
      </w:tcPr>
    </w:tblStylePr>
    <w:tblStylePr w:type="lastRow">
      <w:rPr>
        <w:color w:val="F2F2F2"/>
        <w:sz w:val="22"/>
      </w:rPr>
      <w:tblPr/>
      <w:tcPr>
        <w:shd w:val="clear" w:color="FFFFFF" w:fill="C99C00" w:themeFill="accent5"/>
      </w:tcPr>
    </w:tblStylePr>
  </w:style>
  <w:style w:type="table" w:styleId="848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7CCCC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C9211E" w:themeFill="accent6"/>
      </w:tcPr>
    </w:tblStylePr>
    <w:tblStylePr w:type="firstRow">
      <w:rPr>
        <w:color w:val="F2F2F2"/>
        <w:sz w:val="22"/>
      </w:rPr>
      <w:tblPr/>
      <w:tcPr>
        <w:shd w:val="clear" w:color="FFFFFF" w:fill="C9211E" w:themeFill="accent6"/>
      </w:tcPr>
    </w:tblStylePr>
    <w:tblStylePr w:type="lastCol">
      <w:rPr>
        <w:color w:val="F2F2F2"/>
        <w:sz w:val="22"/>
      </w:rPr>
      <w:tblPr/>
      <w:tcPr>
        <w:shd w:val="clear" w:color="FFFFFF" w:fill="C9211E" w:themeFill="accent6"/>
      </w:tcPr>
    </w:tblStylePr>
    <w:tblStylePr w:type="lastRow">
      <w:rPr>
        <w:color w:val="F2F2F2"/>
        <w:sz w:val="22"/>
      </w:rPr>
      <w:tblPr/>
      <w:tcPr>
        <w:shd w:val="clear" w:color="FFFFFF" w:fill="C9211E" w:themeFill="accent6"/>
      </w:tcPr>
    </w:tblStylePr>
  </w:style>
  <w:style w:type="table" w:styleId="849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</w:style>
  <w:style w:type="table" w:styleId="850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</w:style>
  <w:style w:type="table" w:styleId="851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</w:style>
  <w:style w:type="table" w:styleId="852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</w:style>
  <w:style w:type="table" w:styleId="853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</w:style>
  <w:style w:type="table" w:styleId="854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</w:style>
  <w:style w:type="table" w:styleId="855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</w:style>
  <w:style w:type="table" w:default="1" w:styleId="856">
    <w:name w:val="Normal Table"/>
    <w:uiPriority w:val="99"/>
    <w:semiHidden/>
    <w:unhideWhenUsed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 name="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6</TotalTime>
  <Application>LibreOffice/7.4.2.3$Linux_X86_64 LibreOffice_project/40$Build-3</Application>
  <AppVersion>15.0000</AppVersion>
  <Pages>1</Pages>
  <Words>208</Words>
  <Characters>1596</Characters>
  <CharactersWithSpaces>2758</CharactersWithSpaces>
  <Paragraphs>60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2025-04-04T10:46:28Z</dcterms:modified>
  <cp:revision>12</cp:revision>
  <dc:subject/>
  <dc:title/>
</cp:coreProperties>
</file>