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»           2025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4a0" w:noHBand="0" w:lastColumn="0" w:firstColumn="1" w:lastRow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ИЖ-27175-40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>5432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О173ЕК102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Z9Z271750C0035536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21067* 9929051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Отсутствует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Z9Z271750C0035536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hanging="0"/>
              <w:rPr>
                <w:rFonts w:eastAsia="Arial Unicode MS"/>
                <w:b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КАЛЛИПСО (СИННИЙ)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0" w:hanging="0"/>
              <w:rPr>
                <w:b/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18 МУ 172870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0213 833884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236 847,46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FF0000"/>
                <w:sz w:val="24"/>
                <w:szCs w:val="24"/>
              </w:rPr>
              <w:t>32 895,7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numPr>
                <w:ilvl w:val="0"/>
                <w:numId w:val="0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189564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Принадлежность транспортного средства филиал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>
        <w:rPr>
          <w:i/>
          <w:sz w:val="24"/>
          <w:szCs w:val="24"/>
        </w:rPr>
        <w:t xml:space="preserve">450069  г. Уфа, Калининский район, д. Князево, ул. Кирова д.2.   </w:t>
      </w:r>
      <w:r>
        <w:rPr>
          <w:sz w:val="24"/>
          <w:szCs w:val="24"/>
        </w:rPr>
        <w:t xml:space="preserve">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В результате визуального осмотра установлено: ____________________________________</w:t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Заменены следующие агрегаты базовой комплектации:</w:t>
      </w:r>
    </w:p>
    <w:p>
      <w:pPr>
        <w:pStyle w:val="Normal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нет ____________________________________  </w:t>
      </w:r>
      <w:r>
        <w:rPr>
          <w:u w:val="single"/>
        </w:rPr>
        <w:t xml:space="preserve">                                                                                                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 xml:space="preserve">     </w:t>
      </w:r>
    </w:p>
    <w:p>
      <w:pPr>
        <w:pStyle w:val="Normal"/>
        <w:rPr>
          <w:szCs w:val="24"/>
          <w:highlight w:val="none"/>
          <w:u w:val="none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  <w:highlight w:val="none"/>
          <w:u w:val="none"/>
        </w:rPr>
      </w:pPr>
      <w:r>
        <w:rPr>
          <w:sz w:val="24"/>
          <w:u w:val="none"/>
        </w:rPr>
        <w:t>____________________________________</w:t>
      </w:r>
      <w:r>
        <w:rPr>
          <w:sz w:val="24"/>
          <w:u w:val="single"/>
        </w:rPr>
        <w:t>нет</w:t>
      </w:r>
      <w:r>
        <w:rPr>
          <w:sz w:val="24"/>
          <w:u w:val="none"/>
        </w:rPr>
        <w:t>____________________________________</w:t>
      </w:r>
      <w:r>
        <w:rPr>
          <w:sz w:val="24"/>
          <w:u w:val="single"/>
        </w:rPr>
        <w:t xml:space="preserve">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3. Дополнительно установленное оборудование:</w:t>
      </w:r>
    </w:p>
    <w:p>
      <w:pPr>
        <w:pStyle w:val="Normal"/>
        <w:rPr>
          <w:u w:val="single"/>
        </w:rPr>
      </w:pPr>
      <w:r>
        <w:rPr>
          <w:u w:val="single"/>
        </w:rPr>
        <w:t xml:space="preserve">                                                           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  <w:u w:val="none"/>
        </w:rPr>
        <w:t>___________________________________</w:t>
      </w:r>
      <w:r>
        <w:rPr>
          <w:sz w:val="24"/>
          <w:szCs w:val="24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  <w:u w:val="none"/>
        </w:rPr>
        <w:t>____________________________________</w:t>
      </w:r>
      <w:r>
        <w:rPr>
          <w:sz w:val="24"/>
          <w:szCs w:val="24"/>
          <w:u w:val="single"/>
        </w:rPr>
        <w:t xml:space="preserve">                                                                              </w:t>
      </w:r>
    </w:p>
    <w:p>
      <w:pPr>
        <w:pStyle w:val="Normal"/>
        <w:rPr>
          <w:color w:val="000000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5. Эксплуатационные дефекты: </w:t>
      </w:r>
    </w:p>
    <w:p>
      <w:pPr>
        <w:pStyle w:val="Normal"/>
        <w:rPr>
          <w:sz w:val="24"/>
          <w:szCs w:val="24"/>
          <w:highlight w:val="none"/>
          <w:u w:val="none"/>
        </w:rPr>
      </w:pPr>
      <w:r>
        <w:rPr>
          <w:b/>
          <w:sz w:val="24"/>
          <w:szCs w:val="24"/>
        </w:rPr>
        <w:t xml:space="preserve">Двигатель: </w:t>
      </w:r>
      <w:r>
        <w:rPr>
          <w:sz w:val="24"/>
          <w:szCs w:val="24"/>
          <w:u w:val="single"/>
        </w:rPr>
        <w:t xml:space="preserve">Повышенный расход масла, </w:t>
      </w:r>
      <w:r>
        <w:rPr>
          <w:sz w:val="24"/>
          <w:szCs w:val="24"/>
          <w:u w:val="single"/>
        </w:rPr>
        <w:t>износ поршневой группы</w:t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Требуется  ремонт .</w:t>
      </w:r>
      <w:r>
        <w:rPr>
          <w:sz w:val="24"/>
          <w:szCs w:val="24"/>
        </w:rPr>
        <w:t xml:space="preserve">   </w:t>
      </w:r>
    </w:p>
    <w:p>
      <w:pPr>
        <w:pStyle w:val="Normal"/>
        <w:rPr>
          <w:b/>
          <w:b/>
          <w:sz w:val="24"/>
          <w:szCs w:val="24"/>
          <w:highlight w:val="none"/>
        </w:rPr>
      </w:pPr>
      <w:r>
        <w:rPr>
          <w:b/>
          <w:sz w:val="24"/>
          <w:szCs w:val="24"/>
        </w:rPr>
        <w:t>Трансмиссия:</w:t>
      </w:r>
      <w:r>
        <w:rPr>
          <w:sz w:val="24"/>
          <w:szCs w:val="24"/>
          <w:u w:val="single"/>
        </w:rPr>
        <w:t xml:space="preserve"> Вибрация при движении, затрудненное переключение передач КПП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Требуется частичный ремонт.</w:t>
      </w:r>
      <w:r>
        <w:rPr>
          <w:sz w:val="24"/>
          <w:szCs w:val="24"/>
          <w:u w:val="single"/>
        </w:rPr>
        <w:t xml:space="preserve"> </w:t>
      </w:r>
    </w:p>
    <w:p>
      <w:pPr>
        <w:pStyle w:val="Normal"/>
        <w:rPr>
          <w:b w:val="false"/>
          <w:b w:val="false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Ходовая часть: </w:t>
      </w:r>
      <w:r>
        <w:rPr>
          <w:b w:val="false"/>
          <w:sz w:val="24"/>
          <w:szCs w:val="24"/>
          <w:u w:val="single"/>
        </w:rPr>
        <w:t>Люфт в рулевом механизме, износ амортизаторов, протекторов шин, коррозия резьбовых соединений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Требуется   ремонт.</w:t>
      </w:r>
    </w:p>
    <w:p>
      <w:pPr>
        <w:pStyle w:val="TextBody"/>
        <w:rPr>
          <w:b w:val="false"/>
          <w:b w:val="false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Салон: </w:t>
      </w:r>
      <w:r>
        <w:rPr>
          <w:b w:val="false"/>
          <w:sz w:val="24"/>
          <w:szCs w:val="24"/>
          <w:u w:val="single"/>
        </w:rPr>
        <w:t>Износ обивки сидений и салона, сквозная коррозия кузова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  ремонт. </w:t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Директор филиала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ПАО «Газпром газораспределение Уфа» в д. Князево  _____________________/Т.Р. Кускильдин 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_____________________________________________________/И.Г. Бакиров/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miter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TextBody">
    <w:name w:val="Body Text"/>
    <w:basedOn w:val="Normal"/>
    <w:pPr/>
    <w:rPr>
      <w:sz w:val="28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9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9"/>
    <w:pPr/>
    <w:rPr/>
  </w:style>
  <w:style w:type="paragraph" w:styleId="Contents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 w:hanging="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Style16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76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6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EBE03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43C03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9FB64" w:themeFill="accent1" w:themeFillTint="75"/>
      </w:tcPr>
    </w:tblStylePr>
    <w:tblStylePr w:type="band1Vert">
      <w:tblPr/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18A303" w:themeFill="accent1"/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64C8FB" w:themeFill="accent2" w:themeFillTint="75"/>
      </w:tcPr>
    </w:tblStylePr>
    <w:tblStylePr w:type="band1Vert">
      <w:tblPr/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369A3" w:themeFill="accent2"/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9964" w:themeFill="accent3" w:themeFillTint="75"/>
      </w:tcPr>
    </w:tblStylePr>
    <w:tblStylePr w:type="band1Vert">
      <w:tblPr/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33E03" w:themeFill="accent3"/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464FB" w:themeFill="accent4" w:themeFillTint="75"/>
      </w:tcPr>
    </w:tblStylePr>
    <w:tblStylePr w:type="band1Vert">
      <w:tblPr/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E03A3" w:themeFill="accent4"/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DB71" w:themeFill="accent5" w:themeFillTint="75"/>
      </w:tcPr>
    </w:tblStylePr>
    <w:tblStylePr w:type="band1Vert">
      <w:tblPr/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9C00" w:themeFill="accent5"/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E8F8F" w:themeFill="accent6" w:themeFillTint="75"/>
      </w:tcPr>
    </w:tblStylePr>
    <w:tblStylePr w:type="band1Vert">
      <w:tblPr/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211E" w:themeFill="accent6"/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1EBF04" w:themeColor="accent1" w:themeTint="80" w:themeShade="95"/>
      </w:rPr>
      <w:tblPr/>
    </w:tblStylePr>
    <w:tblStylePr w:type="firstRow">
      <w:rPr>
        <w:b/>
        <w:color w:val="1EBF04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  <w:tblPr/>
    </w:tblStylePr>
    <w:tblStylePr w:type="lastRow">
      <w:rPr>
        <w:b/>
        <w:color w:val="1EBF04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E2201" w:themeColor="accent3" w:themeTint="fe" w:themeShade="95"/>
      </w:rPr>
      <w:tblPr/>
    </w:tblStylePr>
    <w:tblStylePr w:type="firstRow">
      <w:rPr>
        <w:b/>
        <w:color w:val="5E2201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  <w:tblPr/>
    </w:tblStylePr>
    <w:tblStylePr w:type="lastRow">
      <w:rPr>
        <w:b/>
        <w:color w:val="5E2201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1EBF04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5E2201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  <w:tblPr/>
    </w:tblStylePr>
    <w:tblStylePr w:type="firstCol">
      <w:pPr>
        <w:jc w:val="right"/>
      </w:pPr>
      <w:rPr>
        <w:i/>
        <w:color w:val="7457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7457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45700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745700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  <w:tblPr/>
    </w:tblStylePr>
    <w:tblStylePr w:type="firstCol">
      <w:pPr>
        <w:jc w:val="right"/>
      </w:pPr>
      <w:rPr>
        <w:i/>
        <w:color w:val="741111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741111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41111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741111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7A35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042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96E6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8A303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8A303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36B8FB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36B8FB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7A35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A7A35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C33FA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DC33FA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042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D042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96E6E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E96E6E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0E5E01" w:themeColor="accent1" w:themeShade="95"/>
      </w:rPr>
      <w:tblPr/>
    </w:tblStylePr>
    <w:tblStylePr w:type="firstRow">
      <w:rPr>
        <w:b/>
        <w:color w:val="0E5E0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  <w:tblPr/>
    </w:tblStylePr>
    <w:tblStylePr w:type="lastRow">
      <w:rPr>
        <w:b/>
        <w:color w:val="0E5E0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AB3B04" w:themeColor="accent3" w:themeTint="98" w:themeShade="95"/>
      </w:rPr>
      <w:tblPr/>
    </w:tblStylePr>
    <w:tblStylePr w:type="firstRow">
      <w:rPr>
        <w:b/>
        <w:color w:val="AB3B04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  <w:tblPr/>
    </w:tblStylePr>
    <w:tblStylePr w:type="lastRow">
      <w:rPr>
        <w:b/>
        <w:color w:val="AB3B04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BA8700" w:themeColor="accent5" w:themeTint="9a" w:themeShade="95"/>
      </w:rPr>
      <w:tblPr/>
    </w:tblStylePr>
    <w:tblStylePr w:type="firstRow">
      <w:rPr>
        <w:b/>
        <w:color w:val="BA870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  <w:tblPr/>
    </w:tblStylePr>
    <w:tblStylePr w:type="lastRow">
      <w:rPr>
        <w:b/>
        <w:color w:val="BA870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AD1A1A" w:themeColor="accent6" w:themeTint="98" w:themeShade="95"/>
      </w:rPr>
      <w:tblPr/>
    </w:tblStylePr>
    <w:tblStylePr w:type="firstRow">
      <w:rPr>
        <w:b/>
        <w:color w:val="AD1A1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  <w:tblPr/>
    </w:tblStylePr>
    <w:tblStylePr w:type="lastRow">
      <w:rPr>
        <w:b/>
        <w:color w:val="AD1A1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  <w:tblPr/>
    </w:tblStylePr>
    <w:tblStylePr w:type="firstCol">
      <w:pPr>
        <w:jc w:val="right"/>
      </w:pPr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0E5E0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0E5E01" w:themeColor="accent1" w:themeShade="95"/>
        <w:sz w:val="22"/>
      </w:rPr>
      <w:tblPr/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0378AE" w:themeColor="accent2" w:themeTint="97" w:themeShade="95"/>
        <w:sz w:val="22"/>
      </w:rPr>
      <w:tblPr/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AB3B04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AB3B04" w:themeColor="accent3" w:themeTint="98" w:themeShade="95"/>
        <w:sz w:val="22"/>
      </w:rPr>
      <w:tblPr/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104AB" w:themeColor="accent4" w:themeTint="9a" w:themeShade="95"/>
        <w:sz w:val="22"/>
      </w:rPr>
      <w:tblPr/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BA870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BA8700" w:themeColor="accent5" w:themeTint="9a" w:themeShade="95"/>
        <w:sz w:val="22"/>
      </w:rPr>
      <w:tblPr/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AD1A1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AD1A1A" w:themeColor="accent6" w:themeTint="98" w:themeShade="95"/>
        <w:sz w:val="22"/>
      </w:rPr>
      <w:tblPr/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9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LibreOffice/7.4.2.3$Linux_X86_64 LibreOffice_project/40$Build-3</Application>
  <AppVersion>15.0000</AppVersion>
  <Pages>1</Pages>
  <Words>205</Words>
  <Characters>1712</Characters>
  <CharactersWithSpaces>2760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2025-09-11T16:17:39Z</cp:lastPrinted>
  <dcterms:modified xsi:type="dcterms:W3CDTF">2025-09-11T16:17:44Z</dcterms:modified>
  <cp:revision>21</cp:revision>
  <dc:subject/>
  <dc:title/>
</cp:coreProperties>
</file>