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left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695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702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/>
    </w:p>
    <w:p>
      <w:pPr>
        <w:pStyle w:val="654"/>
        <w:rPr>
          <w:szCs w:val="24"/>
        </w:rPr>
      </w:pPr>
      <w:r>
        <w:rPr>
          <w:szCs w:val="24"/>
        </w:rPr>
        <w:t xml:space="preserve">Составлен «    »                      2025 года</w:t>
      </w:r>
      <w:r/>
    </w:p>
    <w:p>
      <w:pPr>
        <w:pStyle w:val="653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208" w:type="dxa"/>
        <w:tblInd w:w="-137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6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jc w:val="left"/>
              <w:widowControl w:val="off"/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  Лада 212140</w:t>
            </w:r>
            <w:r>
              <w:rPr>
                <w:color w:val="auto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8"/>
              <w:jc w:val="left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jc w:val="left"/>
              <w:widowControl w:val="off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5325</w:t>
            </w:r>
            <w:r>
              <w:rPr>
                <w:color w:val="auto"/>
              </w:rPr>
            </w:r>
          </w:p>
        </w:tc>
      </w:tr>
      <w:tr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8"/>
              <w:jc w:val="left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Н177ТК_102</w:t>
            </w:r>
            <w:r>
              <w:rPr>
                <w:color w:val="auto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ХТА212140С2070742</w:t>
            </w:r>
            <w:r>
              <w:rPr>
                <w:color w:val="auto"/>
              </w:rPr>
            </w:r>
          </w:p>
        </w:tc>
      </w:tr>
      <w:tr>
        <w:trPr>
          <w:cantSplit/>
          <w:trHeight w:val="3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rFonts w:eastAsia="Arial Unicode MS"/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2012</w:t>
            </w:r>
            <w:r>
              <w:rPr>
                <w:color w:val="auto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rFonts w:eastAsia="Arial Unicode MS"/>
                <w:b/>
                <w:i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21214*9492465</w:t>
            </w:r>
            <w:r>
              <w:rPr>
                <w:color w:val="auto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rFonts w:eastAsia="Arial Unicode MS"/>
                <w:b/>
                <w:color w:val="auto"/>
                <w:sz w:val="24"/>
                <w:szCs w:val="24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 w:eastAsia="Arial Unicode MS"/>
                <w:color w:val="auto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ХТА212140С2070742</w:t>
            </w:r>
            <w:r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  <w:r>
              <w:rPr>
                <w:rFonts w:ascii="Times New Roman" w:hAnsi="Times New Roman" w:eastAsia="Arial Unicode MS"/>
                <w:b/>
                <w:color w:val="auto"/>
                <w:sz w:val="24"/>
                <w:szCs w:val="24"/>
              </w:rPr>
            </w:r>
          </w:p>
        </w:tc>
      </w:tr>
      <w:tr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0" w:firstLine="0"/>
              <w:widowControl w:val="off"/>
              <w:rPr>
                <w:rFonts w:eastAsia="Arial Unicode MS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eastAsia="Arial Unicode MS"/>
                <w:b/>
                <w:i w:val="0"/>
                <w:color w:val="auto"/>
                <w:sz w:val="24"/>
                <w:szCs w:val="24"/>
              </w:rPr>
              <w:t xml:space="preserve">     Ярко-белый</w:t>
            </w:r>
            <w:r>
              <w:rPr>
                <w:rFonts w:eastAsia="Arial Unicode MS"/>
                <w:b/>
                <w:i w:val="0"/>
                <w:color w:val="auto"/>
                <w:sz w:val="24"/>
                <w:szCs w:val="24"/>
              </w:rPr>
            </w:r>
            <w:r>
              <w:rPr>
                <w:color w:val="auto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3"/>
              <w:widowControl w:val="off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3"/>
              <w:ind w:left="284" w:firstLine="0"/>
              <w:shd w:val="clear" w:color="auto" w:fill="ffffff"/>
              <w:widowControl w:val="off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63 НМ 969867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ind w:firstLine="240"/>
              <w:widowControl w:val="off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3"/>
              <w:ind w:left="284" w:firstLine="0"/>
              <w:shd w:val="clear" w:color="auto" w:fill="ffffff"/>
              <w:widowControl w:val="off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21 13 №790532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653"/>
              <w:ind w:left="284" w:firstLine="0"/>
              <w:widowControl w:val="off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290 474,76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ind w:firstLine="24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18 406,62</w:t>
            </w:r>
            <w:r>
              <w:rPr>
                <w:color w:val="auto"/>
              </w:rPr>
            </w:r>
          </w:p>
        </w:tc>
      </w:tr>
      <w:tr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vAlign w:val="center"/>
            <w:textDirection w:val="lrTb"/>
            <w:noWrap w:val="false"/>
          </w:tcPr>
          <w:p>
            <w:pPr>
              <w:pStyle w:val="659"/>
              <w:numPr>
                <w:ilvl w:val="0"/>
                <w:numId w:val="0"/>
              </w:numPr>
              <w:ind w:left="0" w:firstLine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657"/>
              <w:ind w:left="284" w:firstLine="0"/>
              <w:jc w:val="left"/>
              <w:widowControl w:val="off"/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auto"/>
                <w:sz w:val="24"/>
                <w:szCs w:val="24"/>
              </w:rPr>
              <w:t xml:space="preserve">210 498</w:t>
            </w:r>
            <w:r>
              <w:rPr>
                <w:color w:val="auto"/>
              </w:rPr>
            </w:r>
          </w:p>
        </w:tc>
      </w:tr>
    </w:tbl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Принадлежность транспортного средства филиал</w:t>
      </w:r>
      <w:r/>
    </w:p>
    <w:p>
      <w:pPr>
        <w:pStyle w:val="653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 результате визуального осмотра установлено: ____________________________________</w:t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1. Заменены следующие агрегаты базовой комплектации:</w:t>
      </w:r>
      <w:r/>
    </w:p>
    <w:p>
      <w:pPr>
        <w:pStyle w:val="653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</w:t>
      </w:r>
      <w:r>
        <w:rPr>
          <w:u w:val="single"/>
        </w:rPr>
        <w:t xml:space="preserve">______________________________________________                                                                                            </w:t>
      </w:r>
      <w:r/>
    </w:p>
    <w:p>
      <w:pPr>
        <w:pStyle w:val="653"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 xml:space="preserve">     </w:t>
      </w:r>
      <w:r/>
    </w:p>
    <w:p>
      <w:pPr>
        <w:pStyle w:val="653"/>
        <w:rPr>
          <w:szCs w:val="24"/>
          <w:highlight w:val="none"/>
          <w:u w:val="none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  <w:r/>
    </w:p>
    <w:p>
      <w:pPr>
        <w:pStyle w:val="653"/>
        <w:rPr>
          <w:sz w:val="24"/>
          <w:szCs w:val="24"/>
          <w:highlight w:val="none"/>
          <w:u w:val="none"/>
        </w:rPr>
      </w:pP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нет</w:t>
      </w:r>
      <w:r>
        <w:rPr>
          <w:sz w:val="24"/>
          <w:u w:val="none"/>
        </w:rPr>
        <w:t xml:space="preserve">____________________________________</w:t>
      </w:r>
      <w:r>
        <w:rPr>
          <w:sz w:val="24"/>
          <w:u w:val="single"/>
        </w:rPr>
        <w:t xml:space="preserve">                                                           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 Дополнительно установленное оборудование:</w:t>
      </w:r>
      <w:r/>
    </w:p>
    <w:p>
      <w:pPr>
        <w:pStyle w:val="653"/>
        <w:rPr>
          <w:u w:val="single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            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4. Отсутствуют следующие агрегаты базовой комплектации:</w:t>
      </w:r>
      <w:r/>
    </w:p>
    <w:p>
      <w:pPr>
        <w:pStyle w:val="65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</w:t>
      </w:r>
      <w:r>
        <w:rPr>
          <w:sz w:val="24"/>
          <w:szCs w:val="24"/>
          <w:u w:val="none"/>
        </w:rPr>
        <w:t xml:space="preserve">____________________________________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/>
    </w:p>
    <w:p>
      <w:pPr>
        <w:pStyle w:val="653"/>
        <w:rPr>
          <w:color w:val="000000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5. Эксплуатационные дефекты: </w:t>
      </w:r>
      <w:r/>
    </w:p>
    <w:p>
      <w:pPr>
        <w:pStyle w:val="653"/>
        <w:rPr>
          <w:sz w:val="24"/>
          <w:szCs w:val="24"/>
          <w:highlight w:val="none"/>
          <w:u w:val="none"/>
        </w:rPr>
      </w:pPr>
      <w:r>
        <w:rPr>
          <w:b/>
          <w:sz w:val="24"/>
          <w:szCs w:val="24"/>
        </w:rPr>
        <w:t xml:space="preserve">Двигатель: </w:t>
      </w:r>
      <w:r>
        <w:rPr>
          <w:sz w:val="24"/>
          <w:szCs w:val="24"/>
          <w:u w:val="single"/>
        </w:rPr>
        <w:t xml:space="preserve">Повышенный расход масла.</w:t>
      </w:r>
      <w:r/>
    </w:p>
    <w:p>
      <w:pPr>
        <w:pStyle w:val="653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Требуется капитальный ремонт .</w:t>
      </w:r>
      <w:r>
        <w:rPr>
          <w:sz w:val="24"/>
          <w:szCs w:val="24"/>
        </w:rPr>
        <w:t xml:space="preserve">   </w:t>
      </w:r>
      <w:r/>
    </w:p>
    <w:p>
      <w:pPr>
        <w:pStyle w:val="653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Трансмиссия:</w:t>
      </w:r>
      <w:r>
        <w:rPr>
          <w:sz w:val="24"/>
          <w:szCs w:val="24"/>
          <w:u w:val="single"/>
        </w:rPr>
        <w:t xml:space="preserve"> Вибрация при движении, шум на эаднем мосту</w:t>
      </w:r>
      <w:r/>
    </w:p>
    <w:p>
      <w:pPr>
        <w:pStyle w:val="653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ремонт.</w:t>
      </w:r>
      <w:r>
        <w:rPr>
          <w:sz w:val="24"/>
          <w:szCs w:val="24"/>
          <w:u w:val="single"/>
        </w:rPr>
        <w:t xml:space="preserve"> </w:t>
      </w:r>
      <w:r/>
    </w:p>
    <w:p>
      <w:pPr>
        <w:pStyle w:val="653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Ходовая часть: </w:t>
      </w:r>
      <w:r>
        <w:rPr>
          <w:b w:val="0"/>
          <w:sz w:val="24"/>
          <w:szCs w:val="24"/>
          <w:u w:val="single"/>
        </w:rPr>
        <w:t xml:space="preserve">Люфт в рулевом механизме, износ </w:t>
      </w:r>
      <w:r>
        <w:rPr>
          <w:b w:val="0"/>
          <w:sz w:val="24"/>
          <w:szCs w:val="24"/>
          <w:u w:val="single"/>
        </w:rPr>
        <w:t xml:space="preserve">амортизаторов</w:t>
      </w:r>
      <w:r>
        <w:rPr>
          <w:b w:val="0"/>
          <w:sz w:val="24"/>
          <w:szCs w:val="24"/>
          <w:u w:val="single"/>
        </w:rPr>
        <w:t xml:space="preserve">, протекторов шин, коррозия резьбовых соединений</w:t>
      </w:r>
      <w:r/>
    </w:p>
    <w:p>
      <w:pPr>
        <w:pStyle w:val="653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</w:t>
      </w:r>
      <w:r/>
    </w:p>
    <w:p>
      <w:pPr>
        <w:pStyle w:val="693"/>
        <w:rPr>
          <w:b w:val="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Салон: </w:t>
      </w:r>
      <w:r>
        <w:rPr>
          <w:b w:val="0"/>
          <w:sz w:val="24"/>
          <w:szCs w:val="24"/>
          <w:u w:val="single"/>
        </w:rPr>
        <w:t xml:space="preserve">Износ обивки сидений и салона, сквозная коррозия кузова</w:t>
      </w:r>
      <w:r/>
    </w:p>
    <w:p>
      <w:pPr>
        <w:pStyle w:val="653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  ремонт. </w:t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</w:r>
      <w:r/>
    </w:p>
    <w:p>
      <w:pPr>
        <w:pStyle w:val="653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Директор филиала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ПАО «Газпром газораспределение Уфа» в д. Князево  _____________________/Т.Р. Кускильдин /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Начальник ТС _____________________________________________________/И.Г. Бакиров/</w:t>
      </w:r>
      <w:r/>
    </w:p>
    <w:p>
      <w:pPr>
        <w:pStyle w:val="653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/>
    </w:p>
    <w:p>
      <w:pPr>
        <w:pStyle w:val="653"/>
      </w:pPr>
      <w:r/>
      <w:r/>
    </w:p>
    <w:p>
      <w:pPr>
        <w:pStyle w:val="65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 xml:space="preserve">/</w:t>
      </w:r>
      <w:r/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142" w:right="708" w:bottom="426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Open Sans">
    <w:panose1 w:val="020B0606030504020204"/>
  </w:font>
  <w:font w:name="Segoe UI">
    <w:panose1 w:val="020B05030202040202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right="360" w:firstLine="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08"/>
                            <w:rPr>
                              <w:rStyle w:val="689"/>
                            </w:rPr>
                          </w:pPr>
                          <w:r>
                            <w:rPr>
                              <w:rStyle w:val="68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689"/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2;o:allowoverlap:true;o:allowincell:false;mso-position-horizontal-relative:margin;mso-position-horizontal:right;mso-position-vertical-relative:text;margin-top:0.0pt;mso-position-vertical:absolute;width:1.1pt;height:1.1pt;v-text-anchor:top;" coordsize="100000,100000" path="" filled="f" stroked="f" strokeweight="0.00pt">
              <v:path textboxrect="0,0,0,0"/>
              <w10:wrap type="square"/>
              <v:textbox>
                <w:txbxContent>
                  <w:p>
                    <w:pPr>
                      <w:pStyle w:val="708"/>
                      <w:rPr>
                        <w:rStyle w:val="689"/>
                      </w:rPr>
                    </w:pPr>
                    <w:r>
                      <w:rPr>
                        <w:rStyle w:val="689"/>
                        <w:color w:val="000000"/>
                      </w:rPr>
                      <w:fldChar w:fldCharType="begin"/>
                    </w:r>
                    <w:r>
                      <w:rPr>
                        <w:rStyle w:val="68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689"/>
                        <w:color w:val="000000"/>
                      </w:rPr>
                      <w:fldChar w:fldCharType="separate"/>
                    </w:r>
                    <w:r>
                      <w:rPr>
                        <w:rStyle w:val="689"/>
                        <w:color w:val="000000"/>
                      </w:rPr>
                      <w:t xml:space="preserve">0</w:t>
                    </w:r>
                    <w:r>
                      <w:rPr>
                        <w:rStyle w:val="689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right="360" w:firstLine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Lohit Devanagari" w:eastAsia="Tahoma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ru-RU"/>
    </w:rPr>
  </w:style>
  <w:style w:type="paragraph" w:styleId="654">
    <w:name w:val="Heading 1"/>
    <w:basedOn w:val="653"/>
    <w:uiPriority w:val="9"/>
    <w:qFormat/>
    <w:pPr>
      <w:jc w:val="center"/>
      <w:keepNext/>
      <w:outlineLvl w:val="0"/>
    </w:pPr>
    <w:rPr>
      <w:sz w:val="24"/>
    </w:rPr>
  </w:style>
  <w:style w:type="paragraph" w:styleId="655">
    <w:name w:val="Heading 2"/>
    <w:basedOn w:val="653"/>
    <w:uiPriority w:val="9"/>
    <w:unhideWhenUsed/>
    <w:qFormat/>
    <w:pPr>
      <w:jc w:val="right"/>
      <w:keepNext/>
      <w:outlineLvl w:val="1"/>
    </w:pPr>
    <w:rPr>
      <w:sz w:val="28"/>
    </w:rPr>
  </w:style>
  <w:style w:type="paragraph" w:styleId="656">
    <w:name w:val="Heading 3"/>
    <w:basedOn w:val="653"/>
    <w:uiPriority w:val="9"/>
    <w:unhideWhenUsed/>
    <w:qFormat/>
    <w:pPr>
      <w:keepNext/>
      <w:outlineLvl w:val="2"/>
    </w:pPr>
    <w:rPr>
      <w:sz w:val="28"/>
    </w:rPr>
  </w:style>
  <w:style w:type="paragraph" w:styleId="657">
    <w:name w:val="Heading 4"/>
    <w:basedOn w:val="653"/>
    <w:uiPriority w:val="9"/>
    <w:unhideWhenUsed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658">
    <w:name w:val="Heading 5"/>
    <w:basedOn w:val="653"/>
    <w:uiPriority w:val="9"/>
    <w:unhideWhenUsed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659">
    <w:name w:val="Heading 6"/>
    <w:basedOn w:val="653"/>
    <w:uiPriority w:val="9"/>
    <w:unhideWhenUsed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paragraph" w:styleId="660">
    <w:name w:val="Heading 7"/>
    <w:basedOn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61">
    <w:name w:val="Heading 8"/>
    <w:basedOn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62">
    <w:name w:val="Heading 9"/>
    <w:basedOn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3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664">
    <w:name w:val="Heading 2 Char"/>
    <w:uiPriority w:val="9"/>
    <w:qFormat/>
    <w:rPr>
      <w:rFonts w:ascii="Arial" w:hAnsi="Arial" w:cs="Arial" w:eastAsia="Arial"/>
      <w:sz w:val="34"/>
    </w:rPr>
  </w:style>
  <w:style w:type="character" w:styleId="665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666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667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668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670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671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672">
    <w:name w:val="Title Char"/>
    <w:uiPriority w:val="10"/>
    <w:qFormat/>
    <w:rPr>
      <w:sz w:val="48"/>
      <w:szCs w:val="48"/>
    </w:rPr>
  </w:style>
  <w:style w:type="character" w:styleId="673">
    <w:name w:val="Subtitle Char"/>
    <w:uiPriority w:val="11"/>
    <w:qFormat/>
    <w:rPr>
      <w:sz w:val="24"/>
      <w:szCs w:val="24"/>
    </w:rPr>
  </w:style>
  <w:style w:type="character" w:styleId="674">
    <w:name w:val="Quote Char"/>
    <w:uiPriority w:val="29"/>
    <w:qFormat/>
    <w:rPr>
      <w:i/>
    </w:rPr>
  </w:style>
  <w:style w:type="character" w:styleId="675">
    <w:name w:val="Intense Quote Char"/>
    <w:uiPriority w:val="30"/>
    <w:qFormat/>
    <w:rPr>
      <w:i/>
    </w:rPr>
  </w:style>
  <w:style w:type="character" w:styleId="676">
    <w:name w:val="Header Char"/>
    <w:uiPriority w:val="99"/>
    <w:qFormat/>
  </w:style>
  <w:style w:type="character" w:styleId="677">
    <w:name w:val="Footer Char"/>
    <w:uiPriority w:val="99"/>
    <w:qFormat/>
  </w:style>
  <w:style w:type="character" w:styleId="678">
    <w:name w:val="Caption Char"/>
    <w:uiPriority w:val="99"/>
    <w:qFormat/>
  </w:style>
  <w:style w:type="character" w:styleId="679">
    <w:name w:val="Hyperlink"/>
    <w:uiPriority w:val="99"/>
    <w:unhideWhenUsed/>
    <w:rPr>
      <w:color w:val="0000FF" w:themeColor="hyperlink"/>
      <w:u w:val="single"/>
    </w:rPr>
  </w:style>
  <w:style w:type="character" w:styleId="680">
    <w:name w:val="Footnote Text Char"/>
    <w:uiPriority w:val="99"/>
    <w:qFormat/>
    <w:rPr>
      <w:sz w:val="18"/>
    </w:rPr>
  </w:style>
  <w:style w:type="character" w:styleId="681">
    <w:name w:val="Символ сноски"/>
    <w:uiPriority w:val="99"/>
    <w:unhideWhenUsed/>
    <w:qFormat/>
    <w:rPr>
      <w:vertAlign w:val="superscript"/>
    </w:rPr>
  </w:style>
  <w:style w:type="character" w:styleId="682">
    <w:name w:val="Footnote Characters"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Characters"/>
    <w:qFormat/>
    <w:rPr>
      <w:vertAlign w:val="superscript"/>
    </w:rPr>
  </w:style>
  <w:style w:type="character" w:styleId="687">
    <w:name w:val="endnote reference"/>
    <w:rPr>
      <w:vertAlign w:val="superscript"/>
    </w:rPr>
  </w:style>
  <w:style w:type="character" w:styleId="688">
    <w:name w:val="Основной шрифт абзаца"/>
    <w:semiHidden/>
    <w:qFormat/>
  </w:style>
  <w:style w:type="character" w:styleId="689">
    <w:name w:val="Page Number"/>
    <w:basedOn w:val="688"/>
  </w:style>
  <w:style w:type="character" w:styleId="690">
    <w:name w:val="Текст выноски Знак"/>
    <w:qFormat/>
    <w:rPr>
      <w:rFonts w:ascii="Segoe UI" w:hAnsi="Segoe UI"/>
      <w:sz w:val="18"/>
      <w:szCs w:val="18"/>
    </w:rPr>
  </w:style>
  <w:style w:type="character" w:styleId="691" w:default="1">
    <w:name w:val="Default Paragraph Font"/>
    <w:uiPriority w:val="1"/>
    <w:semiHidden/>
    <w:unhideWhenUsed/>
    <w:qFormat/>
  </w:style>
  <w:style w:type="paragraph" w:styleId="692">
    <w:name w:val="Heading"/>
    <w:basedOn w:val="653"/>
    <w:next w:val="693"/>
    <w:qFormat/>
    <w:pPr>
      <w:keepNext/>
      <w:spacing w:before="240" w:after="120"/>
    </w:pPr>
    <w:rPr>
      <w:rFonts w:ascii="Open Sans" w:hAnsi="Open Sans" w:cs="Lohit Devanagari" w:eastAsia="Tahoma"/>
      <w:sz w:val="28"/>
      <w:szCs w:val="28"/>
    </w:rPr>
  </w:style>
  <w:style w:type="paragraph" w:styleId="693">
    <w:name w:val="Body Text"/>
    <w:basedOn w:val="653"/>
    <w:rPr>
      <w:sz w:val="28"/>
    </w:rPr>
  </w:style>
  <w:style w:type="paragraph" w:styleId="694">
    <w:name w:val="List"/>
    <w:basedOn w:val="693"/>
    <w:rPr>
      <w:rFonts w:cs="Lohit Devanagari"/>
    </w:rPr>
  </w:style>
  <w:style w:type="paragraph" w:styleId="695">
    <w:name w:val="Caption"/>
    <w:basedOn w:val="653"/>
    <w:uiPriority w:val="35"/>
    <w:semiHidden/>
    <w:unhideWhenUsed/>
    <w:qFormat/>
    <w:pPr>
      <w:jc w:val="center"/>
    </w:pPr>
    <w:rPr>
      <w:b/>
      <w:sz w:val="28"/>
    </w:rPr>
  </w:style>
  <w:style w:type="paragraph" w:styleId="696">
    <w:name w:val="Index"/>
    <w:basedOn w:val="653"/>
    <w:qFormat/>
    <w:pPr>
      <w:suppressLineNumbers/>
    </w:pPr>
    <w:rPr>
      <w:rFonts w:cs="Lohit Devanagari"/>
    </w:rPr>
  </w:style>
  <w:style w:type="paragraph" w:styleId="697">
    <w:name w:val="Заголовок"/>
    <w:basedOn w:val="653"/>
    <w:next w:val="693"/>
    <w:qFormat/>
    <w:pPr>
      <w:keepNext/>
      <w:spacing w:before="240" w:after="120"/>
    </w:pPr>
    <w:rPr>
      <w:rFonts w:ascii="Liberation Sans" w:hAnsi="Liberation Sans" w:cs="Lohit Devanagari" w:eastAsia="Tahoma"/>
      <w:sz w:val="28"/>
      <w:szCs w:val="28"/>
    </w:rPr>
  </w:style>
  <w:style w:type="paragraph" w:styleId="698">
    <w:name w:val="Указатель"/>
    <w:basedOn w:val="653"/>
    <w:qFormat/>
    <w:pPr>
      <w:suppressLineNumbers/>
    </w:pPr>
    <w:rPr>
      <w:rFonts w:cs="Lohit Devanagari"/>
    </w:rPr>
  </w:style>
  <w:style w:type="paragraph" w:styleId="699">
    <w:name w:val="List Paragraph"/>
    <w:basedOn w:val="653"/>
    <w:uiPriority w:val="34"/>
    <w:qFormat/>
    <w:pPr>
      <w:contextualSpacing/>
      <w:ind w:left="720" w:firstLine="0"/>
      <w:spacing w:before="0" w:after="0"/>
    </w:pPr>
  </w:style>
  <w:style w:type="paragraph" w:styleId="70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01">
    <w:name w:val="Title"/>
    <w:basedOn w:val="65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2">
    <w:name w:val="Subtitle"/>
    <w:basedOn w:val="653"/>
    <w:uiPriority w:val="11"/>
    <w:qFormat/>
    <w:pPr>
      <w:jc w:val="center"/>
    </w:pPr>
    <w:rPr>
      <w:sz w:val="32"/>
    </w:rPr>
  </w:style>
  <w:style w:type="paragraph" w:styleId="703">
    <w:name w:val="Quote"/>
    <w:basedOn w:val="653"/>
    <w:uiPriority w:val="29"/>
    <w:qFormat/>
    <w:pPr>
      <w:ind w:left="720" w:right="720" w:firstLine="0"/>
    </w:pPr>
    <w:rPr>
      <w:i/>
    </w:rPr>
  </w:style>
  <w:style w:type="paragraph" w:styleId="704">
    <w:name w:val="Intense Quote"/>
    <w:basedOn w:val="653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5">
    <w:name w:val="Колонтитул"/>
    <w:basedOn w:val="653"/>
    <w:qFormat/>
  </w:style>
  <w:style w:type="paragraph" w:styleId="706">
    <w:name w:val="Header and Footer"/>
    <w:basedOn w:val="653"/>
    <w:qFormat/>
  </w:style>
  <w:style w:type="paragraph" w:styleId="707">
    <w:name w:val="Header"/>
    <w:basedOn w:val="65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08">
    <w:name w:val="Footer"/>
    <w:basedOn w:val="653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709">
    <w:name w:val="footnote text"/>
    <w:basedOn w:val="65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3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3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3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3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3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3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3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3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3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7"/>
  </w:style>
  <w:style w:type="paragraph" w:styleId="72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cs="Lohit Devanagari" w:eastAsia="Tahoma"/>
      <w:color w:val="auto"/>
      <w:sz w:val="20"/>
      <w:szCs w:val="20"/>
      <w:lang w:val="ru-RU" w:bidi="ar-SA" w:eastAsia="zh-CN"/>
    </w:rPr>
  </w:style>
  <w:style w:type="paragraph" w:styleId="722">
    <w:name w:val="table of figures"/>
    <w:basedOn w:val="653"/>
    <w:uiPriority w:val="99"/>
    <w:unhideWhenUsed/>
    <w:qFormat/>
    <w:pPr>
      <w:spacing w:before="0" w:after="0" w:afterAutospacing="0"/>
    </w:pPr>
  </w:style>
  <w:style w:type="paragraph" w:styleId="723">
    <w:name w:val="Схема документа"/>
    <w:basedOn w:val="653"/>
    <w:semiHidden/>
    <w:qFormat/>
    <w:pPr>
      <w:shd w:val="clear" w:color="auto" w:fill="000080"/>
    </w:pPr>
    <w:rPr>
      <w:rFonts w:ascii="Tahoma" w:hAnsi="Tahoma"/>
    </w:rPr>
  </w:style>
  <w:style w:type="paragraph" w:styleId="724">
    <w:name w:val="Абзац списка"/>
    <w:basedOn w:val="653"/>
    <w:qFormat/>
    <w:pPr>
      <w:contextualSpacing/>
      <w:ind w:left="720" w:firstLine="0"/>
      <w:spacing w:before="0" w:after="0"/>
    </w:pPr>
    <w:rPr>
      <w:sz w:val="24"/>
      <w:szCs w:val="24"/>
    </w:rPr>
  </w:style>
  <w:style w:type="paragraph" w:styleId="725">
    <w:name w:val="Текст выноски"/>
    <w:basedOn w:val="653"/>
    <w:qFormat/>
    <w:rPr>
      <w:rFonts w:ascii="Segoe UI" w:hAnsi="Segoe UI"/>
      <w:sz w:val="18"/>
      <w:szCs w:val="18"/>
    </w:rPr>
  </w:style>
  <w:style w:type="paragraph" w:styleId="726">
    <w:name w:val="Содержимое врезки"/>
    <w:basedOn w:val="653"/>
    <w:qFormat/>
  </w:style>
  <w:style w:type="paragraph" w:styleId="727">
    <w:name w:val="Frame Contents"/>
    <w:basedOn w:val="653"/>
    <w:qFormat/>
  </w:style>
  <w:style w:type="numbering" w:styleId="728">
    <w:name w:val="Нет списка"/>
    <w:semiHidden/>
    <w:qFormat/>
  </w:style>
  <w:style w:type="numbering" w:styleId="729" w:default="1">
    <w:name w:val="No List"/>
    <w:uiPriority w:val="99"/>
    <w:semiHidden/>
    <w:unhideWhenUsed/>
    <w:qFormat/>
  </w:style>
  <w:style w:type="table" w:styleId="73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ebe03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43c03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79fb64" w:themeFill="accent1" w:themeFillTint="75"/>
      </w:tcPr>
    </w:tblStylePr>
    <w:tblStylePr w:type="band1Vert"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cPr>
        <w:shd w:val="clear" w:color="ffffff" w:fill="18a303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64c8fb" w:themeFill="accent2" w:themeFillTint="75"/>
      </w:tcPr>
    </w:tblStylePr>
    <w:tblStylePr w:type="band1Vert"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cPr>
        <w:shd w:val="clear" w:color="ffffff" w:fill="0369a3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9964" w:themeFill="accent3" w:themeFillTint="75"/>
      </w:tcPr>
    </w:tblStylePr>
    <w:tblStylePr w:type="band1Vert"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cPr>
        <w:shd w:val="clear" w:color="ffffff" w:fill="a33e03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464fb" w:themeFill="accent4" w:themeFillTint="75"/>
      </w:tcPr>
    </w:tblStylePr>
    <w:tblStylePr w:type="band1Vert"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cPr>
        <w:shd w:val="clear" w:color="ffffff" w:fill="8e03a3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db71" w:themeFill="accent5" w:themeFillTint="75"/>
      </w:tcPr>
    </w:tblStylePr>
    <w:tblStylePr w:type="band1Vert"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cPr>
        <w:shd w:val="clear" w:color="ffffff" w:fill="c99c00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e8f8f" w:themeFill="accent6" w:themeFillTint="75"/>
      </w:tcPr>
    </w:tblStylePr>
    <w:tblStylePr w:type="band1Vert"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cPr>
        <w:shd w:val="clear" w:color="ffffff" w:fill="c9211e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cPr>
        <w:shd w:val="clear" w:color="ffffff" w:fill="c3fdba" w:themeFill="accent1" w:themeFillTint="34"/>
      </w:tcPr>
    </w:tblStylePr>
    <w:tblStylePr w:type="band1Vert"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</w:tblStylePr>
    <w:tblStylePr w:type="firstCol">
      <w:rPr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1EBF04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1EBF04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bce7fd" w:themeFill="accent2" w:themeFillTint="32"/>
      </w:tcPr>
    </w:tblStylePr>
    <w:tblStylePr w:type="band1Vert"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cPr>
        <w:shd w:val="clear" w:color="ffffff" w:fill="fdd2ba" w:themeFill="accent3" w:themeFillTint="34"/>
      </w:tcPr>
    </w:tblStylePr>
    <w:tblStylePr w:type="band1Vert"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</w:tblStylePr>
    <w:tblStylePr w:type="firstCol">
      <w:rPr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E2201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E2201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3bafd" w:themeFill="accent4" w:themeFillTint="34"/>
      </w:tcPr>
    </w:tblStylePr>
    <w:tblStylePr w:type="band1Vert"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cPr>
        <w:shd w:val="clear" w:color="ffffff" w:fill="ffefbf" w:themeFill="accent5" w:themeFillTint="34"/>
      </w:tcPr>
    </w:tblStylePr>
    <w:tblStylePr w:type="band1Vert"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</w:tblStylePr>
    <w:tblStylePr w:type="firstCol">
      <w:rPr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745700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5700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cPr>
        <w:shd w:val="clear" w:color="ffffff" w:fill="f7cccc" w:themeFill="accent6" w:themeFillTint="34"/>
      </w:tcPr>
    </w:tblStylePr>
    <w:tblStylePr w:type="band1Vert"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</w:tblStylePr>
    <w:tblStylePr w:type="firstCol">
      <w:rPr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741111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41111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36b8fb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7a35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c33fa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042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e96e6e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cPr>
        <w:shd w:val="clear" w:color="ffffff" w:fill="b6fdaa" w:themeFill="accent1" w:themeFillTint="40"/>
      </w:tcPr>
    </w:tblStylePr>
    <w:tblStylePr w:type="band1Vert"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</w:tblStylePr>
    <w:tblStylePr w:type="firstCol">
      <w:rPr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0E5E0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E5E0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E5E0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cPr>
        <w:shd w:val="clear" w:color="ffffff" w:fill="aae1fd" w:themeFill="accent2" w:themeFillTint="40"/>
      </w:tcPr>
    </w:tblStylePr>
    <w:tblStylePr w:type="band1Vert"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</w:tblStylePr>
    <w:tblStylePr w:type="firstCol">
      <w:rPr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0378AE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0378AE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0378AE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cPr>
        <w:shd w:val="clear" w:color="ffffff" w:fill="fdc7aa" w:themeFill="accent3" w:themeFillTint="40"/>
      </w:tcPr>
    </w:tblStylePr>
    <w:tblStylePr w:type="band1Vert"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</w:tblStylePr>
    <w:tblStylePr w:type="firstCol">
      <w:rPr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AB3B04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B3B04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B3B04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cPr>
        <w:shd w:val="clear" w:color="ffffff" w:fill="f0aafd" w:themeFill="accent4" w:themeFillTint="40"/>
      </w:tcPr>
    </w:tblStylePr>
    <w:tblStylePr w:type="band1Vert"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</w:tblStylePr>
    <w:tblStylePr w:type="firstCol">
      <w:rPr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9104AB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104AB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104AB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cPr>
        <w:shd w:val="clear" w:color="ffffff" w:fill="ffebb1" w:themeFill="accent5" w:themeFillTint="40"/>
      </w:tcPr>
    </w:tblStylePr>
    <w:tblStylePr w:type="band1Vert"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</w:tblStylePr>
    <w:tblStylePr w:type="firstCol">
      <w:rPr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BA870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A870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BA870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cPr>
        <w:shd w:val="clear" w:color="ffffff" w:fill="f5c2c2" w:themeFill="accent6" w:themeFillTint="40"/>
      </w:tcPr>
    </w:tblStylePr>
    <w:tblStylePr w:type="band1Vert"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</w:tblStylePr>
    <w:tblStylePr w:type="firstCol">
      <w:rPr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AD1A1A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D1A1A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AD1A1A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cPr>
        <w:shd w:val="clear" w:color="ffffff" w:fill="1ebe03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cPr>
        <w:shd w:val="clear" w:color="ffffff" w:fill="36b8fb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cPr>
        <w:shd w:val="clear" w:color="ffffff" w:fill="a43c03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cPr>
        <w:shd w:val="clear" w:color="ffffff" w:fill="dc33fa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c99c00" w:themeFill="accent5"/>
      </w:tcPr>
    </w:tblStylePr>
    <w:tblStylePr w:type="firstRow">
      <w:rPr>
        <w:color w:val="F2F2F2"/>
        <w:sz w:val="22"/>
      </w:rPr>
      <w:tcPr>
        <w:shd w:val="clear" w:color="ffffff" w:fill="c99c00" w:themeFill="accent5"/>
      </w:tcPr>
    </w:tblStylePr>
    <w:tblStylePr w:type="lastCol">
      <w:rPr>
        <w:color w:val="F2F2F2"/>
        <w:sz w:val="22"/>
      </w:rPr>
      <w:tcPr>
        <w:shd w:val="clear" w:color="ffffff" w:fill="c99c00" w:themeFill="accent5"/>
      </w:tcPr>
    </w:tblStylePr>
    <w:tblStylePr w:type="lastRow">
      <w:rPr>
        <w:color w:val="F2F2F2"/>
        <w:sz w:val="22"/>
      </w:rPr>
      <w:tcPr>
        <w:shd w:val="clear" w:color="ffffff" w:fill="c99c00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cPr>
        <w:shd w:val="clear" w:color="ffffff" w:fill="c9211e" w:themeFill="accent6"/>
      </w:tcPr>
    </w:tblStylePr>
    <w:tblStylePr w:type="firstRow">
      <w:rPr>
        <w:color w:val="F2F2F2"/>
        <w:sz w:val="22"/>
      </w:rPr>
      <w:tcPr>
        <w:shd w:val="clear" w:color="ffffff" w:fill="c9211e" w:themeFill="accent6"/>
      </w:tcPr>
    </w:tblStylePr>
    <w:tblStylePr w:type="lastCol">
      <w:rPr>
        <w:color w:val="F2F2F2"/>
        <w:sz w:val="22"/>
      </w:rPr>
      <w:tcPr>
        <w:shd w:val="clear" w:color="ffffff" w:fill="c9211e" w:themeFill="accent6"/>
      </w:tcPr>
    </w:tblStylePr>
    <w:tblStylePr w:type="lastRow">
      <w:rPr>
        <w:color w:val="F2F2F2"/>
        <w:sz w:val="22"/>
      </w:rPr>
      <w:tcPr>
        <w:shd w:val="clear" w:color="ffffff" w:fill="c9211e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17</cp:revision>
  <dcterms:modified xsi:type="dcterms:W3CDTF">2025-08-20T06:21:04Z</dcterms:modified>
</cp:coreProperties>
</file>