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»  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0"/>
                <w:numId w:val="0"/>
              </w:numPr>
              <w:ind w:hanging="0"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Н666РХ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  <w:r>
              <w:rPr>
                <w:rFonts w:eastAsia="Calibri"/>
                <w:b/>
                <w:sz w:val="24"/>
                <w:szCs w:val="24"/>
              </w:rPr>
              <w:t>50003</w:t>
            </w: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Z70280913</w:t>
            </w:r>
            <w:r>
              <w:rPr>
                <w:rFonts w:eastAsia="Calibri"/>
                <w:b/>
                <w:sz w:val="24"/>
                <w:szCs w:val="24"/>
              </w:rPr>
              <w:t>С0000844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С</w:t>
            </w:r>
            <w:r>
              <w:rPr>
                <w:rFonts w:eastAsia="Calibri"/>
                <w:b/>
                <w:sz w:val="24"/>
                <w:szCs w:val="24"/>
              </w:rPr>
              <w:t>301</w:t>
            </w:r>
            <w:r>
              <w:rPr>
                <w:rFonts w:eastAsia="Calibri"/>
                <w:b/>
                <w:sz w:val="24"/>
                <w:szCs w:val="24"/>
              </w:rPr>
              <w:t>0449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С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04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74081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С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020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2530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73 </w:t>
            </w:r>
            <w:r>
              <w:rPr>
                <w:rFonts w:eastAsia="Calibri"/>
                <w:b/>
                <w:sz w:val="24"/>
                <w:szCs w:val="24"/>
              </w:rPr>
              <w:t>НМ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229049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99 </w:t>
            </w:r>
            <w:r>
              <w:rPr>
                <w:rFonts w:eastAsia="Calibri"/>
                <w:b/>
                <w:sz w:val="24"/>
                <w:szCs w:val="24"/>
              </w:rPr>
              <w:t>03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436634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504 164,85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28 444,68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>
              <w:rPr>
                <w:rFonts w:eastAsia="Calibri"/>
                <w:b/>
                <w:sz w:val="24"/>
                <w:szCs w:val="24"/>
              </w:rPr>
              <w:t>84 629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>4. Отсутствуют следующие агрегаты базовой комплектации: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>Раздаточная коробка передач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отсутствует компрессия,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КПП, износ сцепления;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Требуется замена карданного вала, редуктора заднего моста.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LibreOffice/24.8.4.1$Linux_X86_64 LibreOffice_project/480$Build-1</Application>
  <AppVersion>15.0000</AppVersion>
  <Pages>1</Pages>
  <Words>200</Words>
  <Characters>1588</Characters>
  <CharactersWithSpaces>1772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2025-08-20T12:14:00Z</dcterms:created>
  <dc:creator>Сарбашев</dc:creator>
  <dc:description/>
  <dc:language>ru-RU</dc:language>
  <cp:lastModifiedBy/>
  <cp:lastPrinted>2025-10-08T05:46:00Z</cp:lastPrinted>
  <dcterms:modified xsi:type="dcterms:W3CDTF">2026-04-22T15:01:40Z</dcterms:modified>
  <cp:revision>9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