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»                  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 w:val="false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>18-4729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М739МА 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ХТТ39099590477126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409100* 93012363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37410090498418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color w:val="00000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39090090203599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hanging="0"/>
              <w:rPr>
                <w:rFonts w:eastAsia="Arial Unicode MS"/>
                <w:b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МУ 448529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0213 № 790544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415 201,69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>23 724,02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numPr>
                <w:ilvl w:val="0"/>
                <w:numId w:val="0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color w:val="111111"/>
              </w:rPr>
            </w:pPr>
            <w:r>
              <w:rPr>
                <w:rFonts w:ascii="Times New Roman" w:hAnsi="Times New Roman"/>
                <w:b/>
                <w:i w:val="false"/>
                <w:color w:val="111111"/>
                <w:sz w:val="24"/>
                <w:szCs w:val="24"/>
              </w:rPr>
              <w:t>414709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Принадлежность транспортного средства филиал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В результате визуального осмотра установлено: ____________________________________</w:t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Заменены следующие агрегаты базовой комплектации:</w:t>
      </w:r>
    </w:p>
    <w:p>
      <w:pPr>
        <w:pStyle w:val="Normal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нет</w:t>
      </w:r>
      <w:r>
        <w:rPr>
          <w:u w:val="single"/>
        </w:rPr>
        <w:t xml:space="preserve">                                                                                            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 xml:space="preserve">     </w:t>
      </w:r>
    </w:p>
    <w:p>
      <w:pPr>
        <w:pStyle w:val="Normal"/>
        <w:rPr>
          <w:szCs w:val="24"/>
          <w:highlight w:val="none"/>
          <w:u w:val="none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  <w:highlight w:val="none"/>
          <w:u w:val="none"/>
        </w:rPr>
      </w:pPr>
      <w:r>
        <w:rPr>
          <w:sz w:val="24"/>
          <w:u w:val="none"/>
        </w:rPr>
        <w:t>____________________________________</w:t>
      </w:r>
      <w:r>
        <w:rPr>
          <w:sz w:val="24"/>
          <w:u w:val="single"/>
        </w:rPr>
        <w:t>нет</w:t>
      </w:r>
      <w:r>
        <w:rPr>
          <w:sz w:val="24"/>
          <w:u w:val="none"/>
        </w:rPr>
        <w:t>____________________________________</w:t>
      </w:r>
      <w:r>
        <w:rPr>
          <w:sz w:val="24"/>
          <w:u w:val="single"/>
        </w:rPr>
        <w:t xml:space="preserve">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3. Дополнительно установленное оборудование:</w:t>
      </w:r>
    </w:p>
    <w:p>
      <w:pPr>
        <w:pStyle w:val="Normal"/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  <w:u w:val="none"/>
        </w:rPr>
        <w:t>___________________________________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  <w:u w:val="none"/>
        </w:rPr>
        <w:t>____________________________________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</w:t>
      </w:r>
    </w:p>
    <w:p>
      <w:pPr>
        <w:pStyle w:val="Normal"/>
        <w:rPr>
          <w:color w:val="00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5. Эксплуатационные дефекты: </w:t>
      </w:r>
    </w:p>
    <w:p>
      <w:pPr>
        <w:pStyle w:val="Normal"/>
        <w:rPr>
          <w:sz w:val="24"/>
          <w:szCs w:val="24"/>
          <w:highlight w:val="none"/>
          <w:u w:val="none"/>
        </w:rPr>
      </w:pPr>
      <w:r>
        <w:rPr>
          <w:b/>
          <w:sz w:val="24"/>
          <w:szCs w:val="24"/>
        </w:rPr>
        <w:t xml:space="preserve">Двигатель: </w:t>
      </w:r>
      <w:r>
        <w:rPr>
          <w:b w:val="false"/>
          <w:bCs w:val="false"/>
          <w:sz w:val="24"/>
          <w:szCs w:val="24"/>
          <w:u w:val="single"/>
        </w:rPr>
        <w:t>Низкое давление масла, посторонние шумы при работе двигателя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Требуется  ремонт .</w:t>
      </w:r>
      <w:r>
        <w:rPr>
          <w:sz w:val="24"/>
          <w:szCs w:val="24"/>
        </w:rPr>
        <w:t xml:space="preserve">   </w:t>
      </w:r>
    </w:p>
    <w:p>
      <w:pPr>
        <w:pStyle w:val="Normal"/>
        <w:rPr>
          <w:b/>
          <w:b/>
          <w:sz w:val="24"/>
          <w:szCs w:val="24"/>
          <w:highlight w:val="none"/>
        </w:rPr>
      </w:pPr>
      <w:r>
        <w:rPr>
          <w:b/>
          <w:sz w:val="24"/>
          <w:szCs w:val="24"/>
        </w:rPr>
        <w:t>Трансмиссия:</w:t>
      </w:r>
      <w:r>
        <w:rPr>
          <w:sz w:val="24"/>
          <w:szCs w:val="24"/>
          <w:u w:val="single"/>
        </w:rPr>
        <w:t xml:space="preserve"> Вибрация при движении, затрудненное переключение передач КПП</w:t>
      </w:r>
      <w:r>
        <w:rPr>
          <w:b/>
          <w:sz w:val="24"/>
          <w:szCs w:val="24"/>
          <w:u w:val="single"/>
        </w:rPr>
        <w:t xml:space="preserve">, </w:t>
      </w:r>
      <w:r>
        <w:rPr>
          <w:b w:val="false"/>
          <w:bCs w:val="false"/>
          <w:sz w:val="24"/>
          <w:szCs w:val="24"/>
          <w:u w:val="single"/>
        </w:rPr>
        <w:t>неиспраное РКПП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частичный ремонт.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rPr>
          <w:b w:val="false"/>
          <w:b w:val="false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Ходовая часть: </w:t>
      </w:r>
      <w:r>
        <w:rPr>
          <w:b w:val="false"/>
          <w:sz w:val="24"/>
          <w:szCs w:val="24"/>
          <w:u w:val="single"/>
        </w:rPr>
        <w:t xml:space="preserve"> </w:t>
      </w:r>
      <w:r>
        <w:rPr>
          <w:b w:val="false"/>
          <w:sz w:val="24"/>
          <w:szCs w:val="24"/>
          <w:u w:val="single"/>
        </w:rPr>
        <w:t>И</w:t>
      </w:r>
      <w:r>
        <w:rPr>
          <w:b w:val="false"/>
          <w:sz w:val="24"/>
          <w:szCs w:val="24"/>
          <w:u w:val="single"/>
        </w:rPr>
        <w:t>знос амортизаторов, протекторов шин, коррозия резьбовых соединений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  ремонт.</w:t>
      </w:r>
    </w:p>
    <w:p>
      <w:pPr>
        <w:pStyle w:val="TextBody"/>
        <w:rPr>
          <w:b w:val="false"/>
          <w:b w:val="false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Салон: </w:t>
      </w:r>
      <w:r>
        <w:rPr>
          <w:b w:val="false"/>
          <w:sz w:val="24"/>
          <w:szCs w:val="24"/>
          <w:u w:val="single"/>
        </w:rPr>
        <w:t>Износ обивки сидений и салона, коррозия кузова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  ремонт. </w:t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Директор филиала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TextBody">
    <w:name w:val="Body Text"/>
    <w:basedOn w:val="Normal"/>
    <w:pPr/>
    <w:rPr>
      <w:sz w:val="28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9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9"/>
    <w:pPr/>
    <w:rPr/>
  </w:style>
  <w:style w:type="paragraph" w:styleId="Contents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 w:hanging="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73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3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EBE03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C03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9FB64" w:themeFill="accent1" w:themeFillTint="75"/>
      </w:tcPr>
    </w:tblStylePr>
    <w:tblStylePr w:type="band1Vert">
      <w:tblPr/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8FB" w:themeFill="accent2" w:themeFillTint="75"/>
      </w:tcPr>
    </w:tblStylePr>
    <w:tblStylePr w:type="band1Vert">
      <w:tblPr/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9964" w:themeFill="accent3" w:themeFillTint="75"/>
      </w:tcPr>
    </w:tblStylePr>
    <w:tblStylePr w:type="band1Vert">
      <w:tblPr/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464FB" w:themeFill="accent4" w:themeFillTint="75"/>
      </w:tcPr>
    </w:tblStylePr>
    <w:tblStylePr w:type="band1Vert">
      <w:tblPr/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B71" w:themeFill="accent5" w:themeFillTint="75"/>
      </w:tcPr>
    </w:tblStylePr>
    <w:tblStylePr w:type="band1Vert">
      <w:tblPr/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8F8F" w:themeFill="accent6" w:themeFillTint="75"/>
      </w:tcPr>
    </w:tblStylePr>
    <w:tblStylePr w:type="band1Vert">
      <w:tblPr/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1EBF04" w:themeColor="accent1" w:themeTint="80" w:themeShade="95"/>
      </w:rPr>
      <w:tblPr/>
    </w:tblStylePr>
    <w:tblStylePr w:type="firstRow">
      <w:rPr>
        <w:b/>
        <w:color w:val="1EBF04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  <w:tblPr/>
    </w:tblStylePr>
    <w:tblStylePr w:type="lastRow">
      <w:rPr>
        <w:b/>
        <w:color w:val="1EBF04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E2201" w:themeColor="accent3" w:themeTint="fe" w:themeShade="95"/>
      </w:rPr>
      <w:tblPr/>
    </w:tblStylePr>
    <w:tblStylePr w:type="firstRow">
      <w:rPr>
        <w:b/>
        <w:color w:val="5E220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  <w:tblPr/>
    </w:tblStylePr>
    <w:tblStylePr w:type="lastRow">
      <w:rPr>
        <w:b/>
        <w:color w:val="5E2201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1EBF04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5E220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  <w:tblPr/>
    </w:tblStylePr>
    <w:tblStylePr w:type="firstCol">
      <w:pPr>
        <w:jc w:val="right"/>
      </w:pPr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5700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  <w:tblPr/>
    </w:tblStylePr>
    <w:tblStylePr w:type="firstCol">
      <w:pPr>
        <w:jc w:val="right"/>
      </w:pPr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1111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7A35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042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96E6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6B8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6B8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7A35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A7A35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C33FA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DC33FA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042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042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6E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6E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0E5E01" w:themeColor="accent1" w:themeShade="95"/>
      </w:rPr>
      <w:tblPr/>
    </w:tblStylePr>
    <w:tblStylePr w:type="firstRow">
      <w:rPr>
        <w:b/>
        <w:color w:val="0E5E0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  <w:tblPr/>
    </w:tblStylePr>
    <w:tblStylePr w:type="lastRow">
      <w:rPr>
        <w:b/>
        <w:color w:val="0E5E0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AB3B04" w:themeColor="accent3" w:themeTint="98" w:themeShade="95"/>
      </w:rPr>
      <w:tblPr/>
    </w:tblStylePr>
    <w:tblStylePr w:type="firstRow">
      <w:rPr>
        <w:b/>
        <w:color w:val="AB3B04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  <w:tblPr/>
    </w:tblStylePr>
    <w:tblStylePr w:type="lastRow">
      <w:rPr>
        <w:b/>
        <w:color w:val="AB3B04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BA8700" w:themeColor="accent5" w:themeTint="9a" w:themeShade="95"/>
      </w:rPr>
      <w:tblPr/>
    </w:tblStylePr>
    <w:tblStylePr w:type="firstRow">
      <w:rPr>
        <w:b/>
        <w:color w:val="BA87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  <w:tblPr/>
    </w:tblStylePr>
    <w:tblStylePr w:type="lastRow">
      <w:rPr>
        <w:b/>
        <w:color w:val="BA87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AD1A1A" w:themeColor="accent6" w:themeTint="98" w:themeShade="95"/>
      </w:rPr>
      <w:tblPr/>
    </w:tblStylePr>
    <w:tblStylePr w:type="firstRow">
      <w:rPr>
        <w:b/>
        <w:color w:val="AD1A1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  <w:tblPr/>
    </w:tblStylePr>
    <w:tblStylePr w:type="lastRow">
      <w:rPr>
        <w:b/>
        <w:color w:val="AD1A1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  <w:tblPr/>
    </w:tblStylePr>
    <w:tblStylePr w:type="firstCol">
      <w:pPr>
        <w:jc w:val="right"/>
      </w:pPr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E5E0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E5E01" w:themeColor="accent1" w:themeShade="95"/>
        <w:sz w:val="22"/>
      </w:rPr>
      <w:tblPr/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378AE" w:themeColor="accent2" w:themeTint="97" w:themeShade="95"/>
        <w:sz w:val="22"/>
      </w:rPr>
      <w:tblPr/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B3B04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B3B04" w:themeColor="accent3" w:themeTint="98" w:themeShade="95"/>
        <w:sz w:val="22"/>
      </w:rPr>
      <w:tblPr/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104AB" w:themeColor="accent4" w:themeTint="9a" w:themeShade="95"/>
        <w:sz w:val="22"/>
      </w:rPr>
      <w:tblPr/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BA87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BA8700" w:themeColor="accent5" w:themeTint="9a" w:themeShade="95"/>
        <w:sz w:val="22"/>
      </w:rPr>
      <w:tblPr/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D1A1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D1A1A" w:themeColor="accent6" w:themeTint="98" w:themeShade="95"/>
        <w:sz w:val="22"/>
      </w:rPr>
      <w:tblPr/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56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LibreOffice/7.4.2.3$Linux_X86_64 LibreOffice_project/40$Build-3</Application>
  <AppVersion>15.0000</AppVersion>
  <Pages>1</Pages>
  <Words>205</Words>
  <Characters>1671</Characters>
  <CharactersWithSpaces>2714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2025-09-11T16:34:02Z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