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ГАЗ-27527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О724НС102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50534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X96275270D0747622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2013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ISF2.8s4129P 89565532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275200D0524376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БЕЛЫЙ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52 НР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142395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715662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807 866,28 ﻿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78 794,24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224082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замена главной пары</w:t>
      </w:r>
      <w:r>
        <w:rPr>
          <w:sz w:val="22"/>
          <w:szCs w:val="22"/>
        </w:rPr>
        <w:t xml:space="preserve"> переднего и</w:t>
      </w:r>
      <w:r>
        <w:rPr>
          <w:sz w:val="22"/>
          <w:szCs w:val="22"/>
        </w:rPr>
        <w:t xml:space="preserve"> заднего моста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 рессор</w:t>
      </w:r>
      <w:r>
        <w:rPr>
          <w:sz w:val="22"/>
          <w:szCs w:val="22"/>
        </w:rPr>
        <w:t xml:space="preserve">ных листов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 и крыш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26</cp:revision>
  <dcterms:created xsi:type="dcterms:W3CDTF">2023-09-28T13:25:00Z</dcterms:created>
  <dcterms:modified xsi:type="dcterms:W3CDTF">2025-09-01T07:51:59Z</dcterms:modified>
  <cp:version>983040</cp:version>
</cp:coreProperties>
</file>